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widowControl/>
        <w:tabs>
          <w:tab w:val="left" w:pos="420"/>
          <w:tab w:val="clear" w:pos="0"/>
        </w:tabs>
        <w:adjustRightInd/>
        <w:snapToGrid/>
        <w:ind w:left="360" w:hanging="360"/>
        <w:jc w:val="both"/>
        <w:rPr>
          <w:rFonts w:hint="eastAsia" w:ascii="Times New Roman" w:hAnsi="Times New Roman" w:eastAsia="黑体"/>
          <w:b w:val="0"/>
          <w:color w:val="auto"/>
          <w:kern w:val="0"/>
          <w:sz w:val="30"/>
          <w:szCs w:val="30"/>
          <w:highlight w:val="none"/>
          <w:lang w:val="en-US" w:eastAsia="zh-CN"/>
        </w:rPr>
      </w:pPr>
      <w:r>
        <w:rPr>
          <w:rFonts w:hint="eastAsia" w:ascii="Times New Roman" w:hAnsi="Times New Roman" w:eastAsia="黑体"/>
          <w:b w:val="0"/>
          <w:color w:val="auto"/>
          <w:kern w:val="0"/>
          <w:sz w:val="30"/>
          <w:szCs w:val="30"/>
          <w:highlight w:val="none"/>
          <w:lang w:val="en-US" w:eastAsia="zh-CN"/>
        </w:rPr>
        <w:t>附件1</w:t>
      </w:r>
    </w:p>
    <w:p>
      <w:pPr>
        <w:jc w:val="center"/>
        <w:rPr>
          <w:rFonts w:hint="eastAsia" w:eastAsia="黑体"/>
          <w:b w:val="0"/>
          <w:color w:val="auto"/>
          <w:kern w:val="0"/>
          <w:sz w:val="30"/>
          <w:szCs w:val="30"/>
          <w:highlight w:val="none"/>
          <w:lang w:val="en-US" w:eastAsia="zh-CN"/>
        </w:rPr>
      </w:pPr>
      <w:r>
        <w:rPr>
          <w:rFonts w:hint="eastAsia" w:eastAsia="黑体"/>
          <w:b w:val="0"/>
          <w:color w:val="auto"/>
          <w:kern w:val="0"/>
          <w:sz w:val="30"/>
          <w:szCs w:val="30"/>
          <w:highlight w:val="none"/>
          <w:lang w:val="en-US" w:eastAsia="zh-CN"/>
        </w:rPr>
        <w:t>技术要求</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根据有关环评技术导则要求，《安徽省淠史杭灌区“十四五”续建配套与现代化改造工程（金安区淠东干渠、瓦西干渠、淠杭干渠及木北分干渠等项目）环境影响报告书》需开展</w:t>
      </w:r>
      <w:r>
        <w:rPr>
          <w:rFonts w:hint="eastAsia"/>
          <w:sz w:val="24"/>
          <w:szCs w:val="32"/>
          <w:lang w:val="en-US" w:eastAsia="zh-CN"/>
        </w:rPr>
        <w:t>生态</w:t>
      </w:r>
      <w:r>
        <w:rPr>
          <w:rFonts w:hint="default"/>
          <w:sz w:val="24"/>
          <w:szCs w:val="32"/>
          <w:lang w:val="en-US" w:eastAsia="zh-CN"/>
        </w:rPr>
        <w:t>环境</w:t>
      </w:r>
      <w:r>
        <w:rPr>
          <w:rFonts w:hint="eastAsia"/>
          <w:sz w:val="24"/>
          <w:szCs w:val="32"/>
          <w:lang w:val="en-US" w:eastAsia="zh-CN"/>
        </w:rPr>
        <w:t>调查</w:t>
      </w:r>
      <w:r>
        <w:rPr>
          <w:rFonts w:hint="default"/>
          <w:sz w:val="24"/>
          <w:szCs w:val="32"/>
          <w:lang w:val="en-US" w:eastAsia="zh-CN"/>
        </w:rPr>
        <w:t>工作，该工作需委托具有相应资质的监测单位完成。</w:t>
      </w:r>
      <w:r>
        <w:rPr>
          <w:rFonts w:hint="eastAsia"/>
          <w:sz w:val="24"/>
          <w:szCs w:val="32"/>
          <w:lang w:val="en-US" w:eastAsia="zh-CN"/>
        </w:rPr>
        <w:t>生态</w:t>
      </w:r>
      <w:r>
        <w:rPr>
          <w:rFonts w:hint="default"/>
          <w:sz w:val="24"/>
          <w:szCs w:val="32"/>
          <w:lang w:val="en-US" w:eastAsia="zh-CN"/>
        </w:rPr>
        <w:t>环境调查初步方案</w:t>
      </w:r>
      <w:r>
        <w:rPr>
          <w:rFonts w:hint="eastAsia"/>
          <w:sz w:val="24"/>
          <w:szCs w:val="32"/>
          <w:lang w:val="en-US" w:eastAsia="zh-CN"/>
        </w:rPr>
        <w:t>如下：</w:t>
      </w:r>
    </w:p>
    <w:p>
      <w:pPr>
        <w:pStyle w:val="2"/>
        <w:keepLines/>
        <w:widowControl/>
        <w:tabs>
          <w:tab w:val="left" w:pos="420"/>
          <w:tab w:val="clear" w:pos="0"/>
        </w:tabs>
        <w:adjustRightInd/>
        <w:snapToGrid/>
        <w:jc w:val="both"/>
        <w:rPr>
          <w:rFonts w:ascii="Times New Roman" w:hAnsi="Times New Roman" w:eastAsia="黑体"/>
          <w:color w:val="auto"/>
          <w:kern w:val="0"/>
          <w:sz w:val="30"/>
          <w:szCs w:val="30"/>
          <w:highlight w:val="none"/>
        </w:rPr>
      </w:pPr>
      <w:r>
        <w:rPr>
          <w:rFonts w:hint="eastAsia" w:ascii="Times New Roman" w:hAnsi="Times New Roman" w:eastAsia="黑体"/>
          <w:color w:val="auto"/>
          <w:kern w:val="0"/>
          <w:sz w:val="30"/>
          <w:szCs w:val="30"/>
          <w:highlight w:val="none"/>
          <w:lang w:val="en-US" w:eastAsia="zh-CN"/>
        </w:rPr>
        <w:t>一</w:t>
      </w:r>
      <w:r>
        <w:rPr>
          <w:rFonts w:ascii="Times New Roman" w:hAnsi="Times New Roman" w:eastAsia="黑体"/>
          <w:color w:val="auto"/>
          <w:kern w:val="0"/>
          <w:sz w:val="30"/>
          <w:szCs w:val="30"/>
          <w:highlight w:val="none"/>
        </w:rPr>
        <w:t>、生态</w:t>
      </w:r>
    </w:p>
    <w:p>
      <w:pPr>
        <w:adjustRightInd w:val="0"/>
        <w:snapToGrid w:val="0"/>
        <w:spacing w:line="360" w:lineRule="auto"/>
        <w:ind w:firstLine="480"/>
        <w:jc w:val="both"/>
        <w:rPr>
          <w:color w:val="auto"/>
          <w:sz w:val="24"/>
          <w:highlight w:val="none"/>
        </w:rPr>
      </w:pPr>
      <w:r>
        <w:rPr>
          <w:color w:val="auto"/>
          <w:sz w:val="24"/>
          <w:highlight w:val="none"/>
        </w:rPr>
        <w:t>（一）水生生态</w:t>
      </w:r>
    </w:p>
    <w:p>
      <w:pPr>
        <w:adjustRightInd w:val="0"/>
        <w:snapToGrid w:val="0"/>
        <w:spacing w:line="360" w:lineRule="auto"/>
        <w:ind w:firstLine="480"/>
        <w:jc w:val="both"/>
        <w:rPr>
          <w:rFonts w:hint="eastAsia"/>
          <w:color w:val="auto"/>
          <w:sz w:val="24"/>
          <w:highlight w:val="none"/>
        </w:rPr>
      </w:pPr>
      <w:r>
        <w:rPr>
          <w:rFonts w:hint="eastAsia"/>
          <w:color w:val="auto"/>
          <w:sz w:val="24"/>
          <w:highlight w:val="none"/>
        </w:rPr>
        <w:t>水生态调查与评价生态现状调查与评价按二级评价执行，具体要求详见《环境影响评价技术导则 生态影响》（HJ 19-2022）。</w:t>
      </w:r>
    </w:p>
    <w:p>
      <w:pPr>
        <w:adjustRightInd w:val="0"/>
        <w:snapToGrid w:val="0"/>
        <w:spacing w:line="360" w:lineRule="auto"/>
        <w:ind w:firstLine="480"/>
        <w:jc w:val="both"/>
        <w:rPr>
          <w:rFonts w:hint="eastAsia"/>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水生态调查内容</w:t>
      </w:r>
    </w:p>
    <w:p>
      <w:pPr>
        <w:adjustRightInd w:val="0"/>
        <w:snapToGrid w:val="0"/>
        <w:spacing w:line="360" w:lineRule="auto"/>
        <w:ind w:firstLine="480"/>
        <w:jc w:val="both"/>
        <w:rPr>
          <w:rFonts w:hint="eastAsia"/>
          <w:color w:val="auto"/>
          <w:sz w:val="24"/>
          <w:highlight w:val="none"/>
        </w:rPr>
      </w:pPr>
      <w:r>
        <w:rPr>
          <w:color w:val="auto"/>
          <w:sz w:val="24"/>
          <w:highlight w:val="none"/>
        </w:rPr>
        <w:t>水生态调查包括初级生产力、浮游生物、底栖生物、鱼类资源、水生植物。</w:t>
      </w:r>
    </w:p>
    <w:p>
      <w:pPr>
        <w:adjustRightInd w:val="0"/>
        <w:snapToGrid w:val="0"/>
        <w:spacing w:line="360" w:lineRule="auto"/>
        <w:ind w:firstLine="480"/>
        <w:jc w:val="both"/>
        <w:rPr>
          <w:rFonts w:hint="eastAsia"/>
          <w:color w:val="auto"/>
          <w:sz w:val="24"/>
          <w:highlight w:val="none"/>
        </w:rPr>
      </w:pPr>
      <w:r>
        <w:rPr>
          <w:color w:val="auto"/>
          <w:sz w:val="24"/>
          <w:highlight w:val="none"/>
        </w:rPr>
        <w:t>1）初级生产力调查</w:t>
      </w:r>
    </w:p>
    <w:p>
      <w:pPr>
        <w:adjustRightInd w:val="0"/>
        <w:snapToGrid w:val="0"/>
        <w:spacing w:line="360" w:lineRule="auto"/>
        <w:ind w:firstLine="480"/>
        <w:jc w:val="both"/>
        <w:rPr>
          <w:rFonts w:hint="eastAsia"/>
          <w:color w:val="auto"/>
          <w:sz w:val="24"/>
          <w:highlight w:val="none"/>
        </w:rPr>
      </w:pPr>
      <w:r>
        <w:rPr>
          <w:color w:val="auto"/>
          <w:sz w:val="24"/>
          <w:highlight w:val="none"/>
        </w:rPr>
        <w:t>采用遥感和采用监测相结合的方法测定评价范围内水域初级生产力。</w:t>
      </w:r>
    </w:p>
    <w:p>
      <w:pPr>
        <w:adjustRightInd w:val="0"/>
        <w:snapToGrid w:val="0"/>
        <w:spacing w:line="360" w:lineRule="auto"/>
        <w:ind w:firstLine="480"/>
        <w:jc w:val="both"/>
        <w:rPr>
          <w:rFonts w:hint="eastAsia"/>
          <w:color w:val="auto"/>
          <w:sz w:val="24"/>
          <w:highlight w:val="none"/>
        </w:rPr>
      </w:pPr>
      <w:r>
        <w:rPr>
          <w:color w:val="auto"/>
          <w:sz w:val="24"/>
          <w:highlight w:val="none"/>
        </w:rPr>
        <w:t>2）浮游生物调查</w:t>
      </w:r>
    </w:p>
    <w:p>
      <w:pPr>
        <w:adjustRightInd w:val="0"/>
        <w:snapToGrid w:val="0"/>
        <w:spacing w:line="360" w:lineRule="auto"/>
        <w:ind w:firstLine="480"/>
        <w:jc w:val="both"/>
        <w:rPr>
          <w:rFonts w:hint="eastAsia"/>
          <w:color w:val="auto"/>
          <w:sz w:val="24"/>
          <w:highlight w:val="none"/>
        </w:rPr>
      </w:pPr>
      <w:r>
        <w:rPr>
          <w:color w:val="auto"/>
          <w:sz w:val="24"/>
          <w:highlight w:val="none"/>
        </w:rPr>
        <w:t>浮游生物包括浮游植物和浮游动物。浮游生物调查指标包括：</w:t>
      </w:r>
    </w:p>
    <w:p>
      <w:pPr>
        <w:adjustRightInd w:val="0"/>
        <w:snapToGrid w:val="0"/>
        <w:spacing w:line="360" w:lineRule="auto"/>
        <w:ind w:firstLine="480"/>
        <w:jc w:val="both"/>
        <w:rPr>
          <w:rFonts w:hint="eastAsia"/>
          <w:color w:val="auto"/>
          <w:sz w:val="24"/>
          <w:highlight w:val="none"/>
        </w:rPr>
      </w:pPr>
      <w:r>
        <w:rPr>
          <w:color w:val="auto"/>
          <w:sz w:val="24"/>
          <w:highlight w:val="none"/>
        </w:rPr>
        <w:t>★种类组成与分布：包括种及其类属和门类，不同水域的种类数（种/网）；</w:t>
      </w:r>
    </w:p>
    <w:p>
      <w:pPr>
        <w:adjustRightInd w:val="0"/>
        <w:snapToGrid w:val="0"/>
        <w:spacing w:line="360" w:lineRule="auto"/>
        <w:ind w:firstLine="480"/>
        <w:jc w:val="both"/>
        <w:rPr>
          <w:rFonts w:hint="eastAsia"/>
          <w:color w:val="auto"/>
          <w:sz w:val="24"/>
          <w:highlight w:val="none"/>
        </w:rPr>
      </w:pPr>
      <w:r>
        <w:rPr>
          <w:color w:val="auto"/>
          <w:sz w:val="24"/>
          <w:highlight w:val="none"/>
        </w:rPr>
        <w:t>★细胞总数：平均总数（个/m</w:t>
      </w:r>
      <w:r>
        <w:rPr>
          <w:color w:val="auto"/>
          <w:sz w:val="24"/>
          <w:highlight w:val="none"/>
          <w:vertAlign w:val="superscript"/>
        </w:rPr>
        <w:t>3</w:t>
      </w:r>
      <w:r>
        <w:rPr>
          <w:color w:val="auto"/>
          <w:sz w:val="24"/>
          <w:highlight w:val="none"/>
        </w:rPr>
        <w:t>）及其区域分布、季节分析；</w:t>
      </w:r>
    </w:p>
    <w:p>
      <w:pPr>
        <w:adjustRightInd w:val="0"/>
        <w:snapToGrid w:val="0"/>
        <w:spacing w:line="360" w:lineRule="auto"/>
        <w:ind w:firstLine="480"/>
        <w:jc w:val="both"/>
        <w:rPr>
          <w:rFonts w:hint="eastAsia"/>
          <w:color w:val="auto"/>
          <w:sz w:val="24"/>
          <w:highlight w:val="none"/>
        </w:rPr>
      </w:pPr>
      <w:r>
        <w:rPr>
          <w:color w:val="auto"/>
          <w:sz w:val="24"/>
          <w:highlight w:val="none"/>
        </w:rPr>
        <w:t>★生物量：单位体积水中的浮游生物总量（mg/m</w:t>
      </w:r>
      <w:r>
        <w:rPr>
          <w:color w:val="auto"/>
          <w:sz w:val="24"/>
          <w:highlight w:val="none"/>
          <w:vertAlign w:val="superscript"/>
        </w:rPr>
        <w:t>3</w:t>
      </w:r>
      <w:r>
        <w:rPr>
          <w:color w:val="auto"/>
          <w:sz w:val="24"/>
          <w:highlight w:val="none"/>
        </w:rPr>
        <w:t>）；</w:t>
      </w:r>
    </w:p>
    <w:p>
      <w:pPr>
        <w:adjustRightInd w:val="0"/>
        <w:snapToGrid w:val="0"/>
        <w:spacing w:line="360" w:lineRule="auto"/>
        <w:ind w:firstLine="480"/>
        <w:jc w:val="both"/>
        <w:rPr>
          <w:rFonts w:hint="eastAsia"/>
          <w:color w:val="auto"/>
          <w:sz w:val="24"/>
          <w:highlight w:val="none"/>
        </w:rPr>
      </w:pPr>
      <w:r>
        <w:rPr>
          <w:color w:val="auto"/>
          <w:sz w:val="24"/>
          <w:highlight w:val="none"/>
        </w:rPr>
        <w:t>★主要类群：按各类群的浮游生物的生态属性和区域分布特点进行划分；</w:t>
      </w:r>
    </w:p>
    <w:p>
      <w:pPr>
        <w:adjustRightInd w:val="0"/>
        <w:snapToGrid w:val="0"/>
        <w:spacing w:line="360" w:lineRule="auto"/>
        <w:ind w:firstLine="480"/>
        <w:jc w:val="both"/>
        <w:rPr>
          <w:rFonts w:hint="eastAsia"/>
          <w:color w:val="auto"/>
          <w:sz w:val="24"/>
          <w:highlight w:val="none"/>
        </w:rPr>
      </w:pPr>
      <w:r>
        <w:rPr>
          <w:color w:val="auto"/>
          <w:sz w:val="24"/>
          <w:highlight w:val="none"/>
        </w:rPr>
        <w:t>★主要优势种及其分布：细胞密度（个/m</w:t>
      </w:r>
      <w:r>
        <w:rPr>
          <w:color w:val="auto"/>
          <w:sz w:val="24"/>
          <w:highlight w:val="none"/>
          <w:vertAlign w:val="superscript"/>
        </w:rPr>
        <w:t>3</w:t>
      </w:r>
      <w:r>
        <w:rPr>
          <w:color w:val="auto"/>
          <w:sz w:val="24"/>
          <w:highlight w:val="none"/>
        </w:rPr>
        <w:t>）最大的种类及其分布；</w:t>
      </w:r>
    </w:p>
    <w:p>
      <w:pPr>
        <w:adjustRightInd w:val="0"/>
        <w:snapToGrid w:val="0"/>
        <w:spacing w:line="360" w:lineRule="auto"/>
        <w:ind w:firstLine="480"/>
        <w:jc w:val="both"/>
        <w:rPr>
          <w:rFonts w:hint="eastAsia"/>
          <w:color w:val="auto"/>
          <w:sz w:val="24"/>
          <w:highlight w:val="none"/>
        </w:rPr>
      </w:pPr>
      <w:r>
        <w:rPr>
          <w:color w:val="auto"/>
          <w:sz w:val="24"/>
          <w:highlight w:val="none"/>
        </w:rPr>
        <w:t>3）底栖生物调查</w:t>
      </w:r>
    </w:p>
    <w:p>
      <w:pPr>
        <w:adjustRightInd w:val="0"/>
        <w:snapToGrid w:val="0"/>
        <w:spacing w:line="360" w:lineRule="auto"/>
        <w:ind w:firstLine="480"/>
        <w:jc w:val="both"/>
        <w:rPr>
          <w:rFonts w:hint="eastAsia"/>
          <w:color w:val="auto"/>
          <w:sz w:val="24"/>
          <w:highlight w:val="none"/>
        </w:rPr>
      </w:pPr>
      <w:r>
        <w:rPr>
          <w:color w:val="auto"/>
          <w:sz w:val="24"/>
          <w:highlight w:val="none"/>
        </w:rPr>
        <w:t>调查指标包括：</w:t>
      </w:r>
    </w:p>
    <w:p>
      <w:pPr>
        <w:adjustRightInd w:val="0"/>
        <w:snapToGrid w:val="0"/>
        <w:spacing w:line="360" w:lineRule="auto"/>
        <w:ind w:firstLine="480"/>
        <w:jc w:val="both"/>
        <w:rPr>
          <w:rFonts w:hint="eastAsia"/>
          <w:color w:val="auto"/>
          <w:sz w:val="24"/>
          <w:highlight w:val="none"/>
        </w:rPr>
      </w:pPr>
      <w:r>
        <w:rPr>
          <w:color w:val="auto"/>
          <w:sz w:val="24"/>
          <w:highlight w:val="none"/>
        </w:rPr>
        <w:t>★总生物量（g/m</w:t>
      </w:r>
      <w:r>
        <w:rPr>
          <w:color w:val="auto"/>
          <w:sz w:val="24"/>
          <w:highlight w:val="none"/>
          <w:vertAlign w:val="superscript"/>
        </w:rPr>
        <w:t>2</w:t>
      </w:r>
      <w:r>
        <w:rPr>
          <w:color w:val="auto"/>
          <w:sz w:val="24"/>
          <w:highlight w:val="none"/>
        </w:rPr>
        <w:t>）和密度（个/m</w:t>
      </w:r>
      <w:r>
        <w:rPr>
          <w:color w:val="auto"/>
          <w:sz w:val="24"/>
          <w:highlight w:val="none"/>
          <w:vertAlign w:val="superscript"/>
        </w:rPr>
        <w:t>3</w:t>
      </w:r>
      <w:r>
        <w:rPr>
          <w:color w:val="auto"/>
          <w:sz w:val="24"/>
          <w:highlight w:val="none"/>
        </w:rPr>
        <w:t>）；</w:t>
      </w:r>
    </w:p>
    <w:p>
      <w:pPr>
        <w:adjustRightInd w:val="0"/>
        <w:snapToGrid w:val="0"/>
        <w:spacing w:line="360" w:lineRule="auto"/>
        <w:ind w:firstLine="480"/>
        <w:jc w:val="both"/>
        <w:rPr>
          <w:rFonts w:hint="eastAsia"/>
          <w:color w:val="auto"/>
          <w:sz w:val="24"/>
          <w:highlight w:val="none"/>
        </w:rPr>
      </w:pPr>
      <w:r>
        <w:rPr>
          <w:color w:val="auto"/>
          <w:sz w:val="24"/>
          <w:highlight w:val="none"/>
        </w:rPr>
        <w:t>★种类及其生物量、密度：各种类的底栖生物及其相应的生物量、密度；</w:t>
      </w:r>
    </w:p>
    <w:p>
      <w:pPr>
        <w:adjustRightInd w:val="0"/>
        <w:snapToGrid w:val="0"/>
        <w:spacing w:line="360" w:lineRule="auto"/>
        <w:ind w:firstLine="480"/>
        <w:jc w:val="both"/>
        <w:rPr>
          <w:rFonts w:hint="eastAsia"/>
          <w:color w:val="auto"/>
          <w:sz w:val="24"/>
          <w:highlight w:val="none"/>
        </w:rPr>
      </w:pPr>
      <w:r>
        <w:rPr>
          <w:color w:val="auto"/>
          <w:sz w:val="24"/>
          <w:highlight w:val="none"/>
        </w:rPr>
        <w:t>★种类—组成—分布；</w:t>
      </w:r>
    </w:p>
    <w:p>
      <w:pPr>
        <w:adjustRightInd w:val="0"/>
        <w:snapToGrid w:val="0"/>
        <w:spacing w:line="360" w:lineRule="auto"/>
        <w:ind w:firstLine="480"/>
        <w:jc w:val="both"/>
        <w:rPr>
          <w:rFonts w:hint="eastAsia"/>
          <w:color w:val="auto"/>
          <w:sz w:val="24"/>
          <w:highlight w:val="none"/>
        </w:rPr>
      </w:pPr>
      <w:r>
        <w:rPr>
          <w:color w:val="auto"/>
          <w:sz w:val="24"/>
          <w:highlight w:val="none"/>
        </w:rPr>
        <w:t>★群落与优势种：群落组成、分布及其优势种；</w:t>
      </w:r>
    </w:p>
    <w:p>
      <w:pPr>
        <w:adjustRightInd w:val="0"/>
        <w:snapToGrid w:val="0"/>
        <w:spacing w:line="360" w:lineRule="auto"/>
        <w:ind w:firstLine="480"/>
        <w:jc w:val="both"/>
        <w:rPr>
          <w:rFonts w:hint="eastAsia"/>
          <w:color w:val="auto"/>
          <w:sz w:val="24"/>
          <w:highlight w:val="none"/>
        </w:rPr>
      </w:pPr>
      <w:r>
        <w:rPr>
          <w:color w:val="auto"/>
          <w:sz w:val="24"/>
          <w:highlight w:val="none"/>
        </w:rPr>
        <w:t>★底质：类型；</w:t>
      </w:r>
    </w:p>
    <w:p>
      <w:pPr>
        <w:adjustRightInd w:val="0"/>
        <w:snapToGrid w:val="0"/>
        <w:spacing w:line="360" w:lineRule="auto"/>
        <w:ind w:firstLine="480"/>
        <w:jc w:val="both"/>
        <w:rPr>
          <w:rFonts w:hint="eastAsia"/>
          <w:color w:val="auto"/>
          <w:sz w:val="24"/>
          <w:highlight w:val="none"/>
        </w:rPr>
      </w:pPr>
      <w:r>
        <w:rPr>
          <w:color w:val="auto"/>
          <w:sz w:val="24"/>
          <w:highlight w:val="none"/>
        </w:rPr>
        <w:t>4）鱼类调查</w:t>
      </w:r>
    </w:p>
    <w:p>
      <w:pPr>
        <w:adjustRightInd w:val="0"/>
        <w:snapToGrid w:val="0"/>
        <w:spacing w:line="360" w:lineRule="auto"/>
        <w:ind w:firstLine="480"/>
        <w:jc w:val="both"/>
        <w:rPr>
          <w:rFonts w:hint="eastAsia"/>
          <w:color w:val="auto"/>
          <w:sz w:val="24"/>
          <w:highlight w:val="none"/>
        </w:rPr>
      </w:pPr>
      <w:r>
        <w:rPr>
          <w:color w:val="auto"/>
          <w:sz w:val="24"/>
          <w:highlight w:val="none"/>
        </w:rPr>
        <w:t>调查区域分布鱼类的种属名称、分类地位、种类组成、地理分布、区系结构及其演变。鱼类的摄食、洄游、栖息特征；鱼类“三场”的分布区域、范围、繁殖规模及环境状况；珍稀保护鱼类和主要经济鱼类的生态学特点介绍。一般调查指标有：</w:t>
      </w:r>
    </w:p>
    <w:p>
      <w:pPr>
        <w:adjustRightInd w:val="0"/>
        <w:snapToGrid w:val="0"/>
        <w:spacing w:line="360" w:lineRule="auto"/>
        <w:ind w:firstLine="480"/>
        <w:jc w:val="both"/>
        <w:rPr>
          <w:rFonts w:hint="eastAsia"/>
          <w:color w:val="auto"/>
          <w:sz w:val="24"/>
          <w:highlight w:val="none"/>
        </w:rPr>
      </w:pPr>
      <w:r>
        <w:rPr>
          <w:color w:val="auto"/>
          <w:sz w:val="24"/>
          <w:highlight w:val="none"/>
        </w:rPr>
        <w:t>★种类组成与分布：区分目、科、属、种，相应的分布位置；</w:t>
      </w:r>
    </w:p>
    <w:p>
      <w:pPr>
        <w:adjustRightInd w:val="0"/>
        <w:snapToGrid w:val="0"/>
        <w:spacing w:line="360" w:lineRule="auto"/>
        <w:ind w:firstLine="480"/>
        <w:jc w:val="both"/>
        <w:rPr>
          <w:rFonts w:hint="eastAsia"/>
          <w:color w:val="auto"/>
          <w:sz w:val="24"/>
          <w:highlight w:val="none"/>
        </w:rPr>
      </w:pPr>
      <w:r>
        <w:rPr>
          <w:color w:val="auto"/>
          <w:sz w:val="24"/>
          <w:highlight w:val="none"/>
        </w:rPr>
        <w:t>★渔获密度、组成与分布：渔获密度（网/尾），相应的种类、地点；</w:t>
      </w:r>
    </w:p>
    <w:p>
      <w:pPr>
        <w:adjustRightInd w:val="0"/>
        <w:snapToGrid w:val="0"/>
        <w:spacing w:line="360" w:lineRule="auto"/>
        <w:ind w:firstLine="480"/>
        <w:jc w:val="both"/>
        <w:rPr>
          <w:rFonts w:hint="eastAsia"/>
          <w:color w:val="auto"/>
          <w:sz w:val="24"/>
          <w:highlight w:val="none"/>
        </w:rPr>
      </w:pPr>
      <w:r>
        <w:rPr>
          <w:color w:val="auto"/>
          <w:sz w:val="24"/>
          <w:highlight w:val="none"/>
        </w:rPr>
        <w:t>★渔获生物量、组成与分布：渔获生物量（g/网）及相应的种类、地点；</w:t>
      </w:r>
    </w:p>
    <w:p>
      <w:pPr>
        <w:adjustRightInd w:val="0"/>
        <w:snapToGrid w:val="0"/>
        <w:spacing w:line="360" w:lineRule="auto"/>
        <w:ind w:firstLine="480"/>
        <w:jc w:val="both"/>
        <w:rPr>
          <w:rFonts w:hint="eastAsia"/>
          <w:color w:val="auto"/>
          <w:sz w:val="24"/>
          <w:highlight w:val="none"/>
        </w:rPr>
      </w:pPr>
      <w:r>
        <w:rPr>
          <w:color w:val="auto"/>
          <w:sz w:val="24"/>
          <w:highlight w:val="none"/>
        </w:rPr>
        <w:t>★鱼类区系特征：不同温度区及其适宜鱼类种类，不同水层（上、中、底层）中分布，不同水域（静水、流水、急流）鱼类分布；</w:t>
      </w:r>
    </w:p>
    <w:p>
      <w:pPr>
        <w:adjustRightInd w:val="0"/>
        <w:snapToGrid w:val="0"/>
        <w:spacing w:line="360" w:lineRule="auto"/>
        <w:ind w:firstLine="480"/>
        <w:jc w:val="both"/>
        <w:rPr>
          <w:rFonts w:hint="eastAsia"/>
          <w:color w:val="auto"/>
          <w:sz w:val="24"/>
          <w:highlight w:val="none"/>
        </w:rPr>
      </w:pPr>
      <w:r>
        <w:rPr>
          <w:color w:val="auto"/>
          <w:sz w:val="24"/>
          <w:highlight w:val="none"/>
        </w:rPr>
        <w:t>★经济鱼和常见鱼种：种类、生产力；</w:t>
      </w:r>
    </w:p>
    <w:p>
      <w:pPr>
        <w:adjustRightInd w:val="0"/>
        <w:snapToGrid w:val="0"/>
        <w:spacing w:line="360" w:lineRule="auto"/>
        <w:ind w:firstLine="480"/>
        <w:jc w:val="both"/>
        <w:rPr>
          <w:rFonts w:hint="eastAsia"/>
          <w:color w:val="auto"/>
          <w:sz w:val="24"/>
          <w:highlight w:val="none"/>
        </w:rPr>
      </w:pPr>
      <w:r>
        <w:rPr>
          <w:color w:val="auto"/>
          <w:sz w:val="24"/>
          <w:highlight w:val="none"/>
        </w:rPr>
        <w:t>★特有鱼类：地方特有鱼类种类、生活史（食性、繁殖与产卵、洄游等）、特殊生境要求与利用，种群动态；</w:t>
      </w:r>
    </w:p>
    <w:p>
      <w:pPr>
        <w:adjustRightInd w:val="0"/>
        <w:snapToGrid w:val="0"/>
        <w:spacing w:line="360" w:lineRule="auto"/>
        <w:ind w:firstLine="480"/>
        <w:jc w:val="both"/>
        <w:rPr>
          <w:rFonts w:hint="eastAsia"/>
          <w:color w:val="auto"/>
          <w:sz w:val="24"/>
          <w:highlight w:val="none"/>
        </w:rPr>
      </w:pPr>
      <w:r>
        <w:rPr>
          <w:color w:val="auto"/>
          <w:sz w:val="24"/>
          <w:highlight w:val="none"/>
        </w:rPr>
        <w:t>★保护鱼类：列入国家和省级一、二类保护名录中的鱼类、分布、生活史、种群动态及生境条件。</w:t>
      </w:r>
    </w:p>
    <w:p>
      <w:pPr>
        <w:adjustRightInd w:val="0"/>
        <w:snapToGrid w:val="0"/>
        <w:jc w:val="center"/>
        <w:rPr>
          <w:rFonts w:hint="eastAsia"/>
          <w:b/>
          <w:bCs/>
          <w:color w:val="auto"/>
          <w:sz w:val="24"/>
          <w:highlight w:val="none"/>
        </w:rPr>
      </w:pPr>
      <w:r>
        <w:rPr>
          <w:b/>
          <w:bCs/>
          <w:color w:val="auto"/>
          <w:sz w:val="24"/>
          <w:highlight w:val="none"/>
        </w:rPr>
        <w:t>表</w:t>
      </w:r>
      <w:r>
        <w:rPr>
          <w:rFonts w:hint="eastAsia"/>
          <w:b/>
          <w:bCs/>
          <w:color w:val="auto"/>
          <w:sz w:val="24"/>
          <w:highlight w:val="none"/>
          <w:lang w:val="en-US" w:eastAsia="zh-CN"/>
        </w:rPr>
        <w:t>1</w:t>
      </w:r>
      <w:r>
        <w:rPr>
          <w:rFonts w:hint="eastAsia"/>
          <w:b/>
          <w:bCs/>
          <w:color w:val="auto"/>
          <w:sz w:val="24"/>
          <w:highlight w:val="none"/>
        </w:rPr>
        <w:t xml:space="preserve"> </w:t>
      </w:r>
      <w:r>
        <w:rPr>
          <w:b/>
          <w:bCs/>
          <w:color w:val="auto"/>
          <w:sz w:val="24"/>
          <w:highlight w:val="none"/>
        </w:rPr>
        <w:t xml:space="preserve"> 内陆水域鱼类观测内容和指标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157"/>
        <w:gridCol w:w="453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Merge w:val="restart"/>
            <w:noWrap w:val="0"/>
            <w:vAlign w:val="center"/>
          </w:tcPr>
          <w:p>
            <w:pPr>
              <w:jc w:val="center"/>
              <w:rPr>
                <w:color w:val="auto"/>
                <w:highlight w:val="none"/>
              </w:rPr>
            </w:pPr>
            <w:r>
              <w:rPr>
                <w:color w:val="auto"/>
                <w:highlight w:val="none"/>
              </w:rPr>
              <w:t>鱼类物种资源调查</w:t>
            </w:r>
          </w:p>
        </w:tc>
        <w:tc>
          <w:tcPr>
            <w:tcW w:w="678" w:type="pct"/>
            <w:noWrap w:val="0"/>
            <w:vAlign w:val="center"/>
          </w:tcPr>
          <w:p>
            <w:pPr>
              <w:jc w:val="center"/>
              <w:rPr>
                <w:color w:val="auto"/>
                <w:highlight w:val="none"/>
              </w:rPr>
            </w:pPr>
            <w:r>
              <w:rPr>
                <w:color w:val="auto"/>
                <w:highlight w:val="none"/>
              </w:rPr>
              <w:t>鱼类物种多样性</w:t>
            </w:r>
          </w:p>
        </w:tc>
        <w:tc>
          <w:tcPr>
            <w:tcW w:w="2662" w:type="pct"/>
            <w:noWrap w:val="0"/>
            <w:vAlign w:val="center"/>
          </w:tcPr>
          <w:p>
            <w:pPr>
              <w:jc w:val="center"/>
              <w:rPr>
                <w:rFonts w:hint="eastAsia"/>
                <w:color w:val="auto"/>
                <w:highlight w:val="none"/>
              </w:rPr>
            </w:pPr>
            <w:r>
              <w:rPr>
                <w:color w:val="auto"/>
                <w:highlight w:val="none"/>
              </w:rPr>
              <w:t>种类组成和分布</w:t>
            </w:r>
          </w:p>
          <w:p>
            <w:pPr>
              <w:jc w:val="center"/>
              <w:rPr>
                <w:color w:val="auto"/>
                <w:highlight w:val="none"/>
              </w:rPr>
            </w:pPr>
            <w:r>
              <w:rPr>
                <w:rFonts w:hint="eastAsia"/>
                <w:color w:val="auto"/>
                <w:highlight w:val="none"/>
              </w:rPr>
              <w:t>鱼类生物量</w:t>
            </w:r>
          </w:p>
        </w:tc>
        <w:tc>
          <w:tcPr>
            <w:tcW w:w="1194" w:type="pct"/>
            <w:noWrap w:val="0"/>
            <w:vAlign w:val="center"/>
          </w:tcPr>
          <w:p>
            <w:pPr>
              <w:jc w:val="center"/>
              <w:rPr>
                <w:rFonts w:hint="eastAsia"/>
                <w:color w:val="auto"/>
                <w:highlight w:val="none"/>
              </w:rPr>
            </w:pPr>
            <w:r>
              <w:rPr>
                <w:color w:val="auto"/>
                <w:highlight w:val="none"/>
              </w:rPr>
              <w:t>渔获物调查</w:t>
            </w:r>
          </w:p>
          <w:p>
            <w:pPr>
              <w:jc w:val="center"/>
              <w:rPr>
                <w:color w:val="auto"/>
                <w:highlight w:val="none"/>
              </w:rPr>
            </w:pPr>
            <w:r>
              <w:rPr>
                <w:rFonts w:hint="eastAsia"/>
                <w:color w:val="auto"/>
                <w:highlight w:val="none"/>
              </w:rPr>
              <w:t>声呐水声学调查、标记重捕法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Merge w:val="continue"/>
            <w:noWrap w:val="0"/>
            <w:vAlign w:val="center"/>
          </w:tcPr>
          <w:p>
            <w:pPr>
              <w:jc w:val="center"/>
              <w:rPr>
                <w:color w:val="auto"/>
                <w:highlight w:val="none"/>
              </w:rPr>
            </w:pPr>
          </w:p>
        </w:tc>
        <w:tc>
          <w:tcPr>
            <w:tcW w:w="678" w:type="pct"/>
            <w:noWrap w:val="0"/>
            <w:vAlign w:val="center"/>
          </w:tcPr>
          <w:p>
            <w:pPr>
              <w:jc w:val="center"/>
              <w:rPr>
                <w:color w:val="auto"/>
                <w:highlight w:val="none"/>
              </w:rPr>
            </w:pPr>
            <w:r>
              <w:rPr>
                <w:color w:val="auto"/>
                <w:highlight w:val="none"/>
              </w:rPr>
              <w:t>鱼类群落结构</w:t>
            </w:r>
          </w:p>
        </w:tc>
        <w:tc>
          <w:tcPr>
            <w:tcW w:w="2662" w:type="pct"/>
            <w:noWrap w:val="0"/>
            <w:vAlign w:val="center"/>
          </w:tcPr>
          <w:p>
            <w:pPr>
              <w:jc w:val="center"/>
              <w:rPr>
                <w:color w:val="auto"/>
                <w:highlight w:val="none"/>
              </w:rPr>
            </w:pPr>
            <w:r>
              <w:rPr>
                <w:color w:val="auto"/>
                <w:highlight w:val="none"/>
              </w:rPr>
              <w:t>优势物种，不同种类的重量和尾数频数分布</w:t>
            </w:r>
          </w:p>
        </w:tc>
        <w:tc>
          <w:tcPr>
            <w:tcW w:w="1194" w:type="pct"/>
            <w:noWrap w:val="0"/>
            <w:vAlign w:val="center"/>
          </w:tcPr>
          <w:p>
            <w:pPr>
              <w:jc w:val="center"/>
              <w:rPr>
                <w:color w:val="auto"/>
                <w:highlight w:val="none"/>
              </w:rPr>
            </w:pPr>
            <w:r>
              <w:rPr>
                <w:color w:val="auto"/>
                <w:highlight w:val="none"/>
              </w:rPr>
              <w:t>渔获物调查、声呐水声学调查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Merge w:val="continue"/>
            <w:noWrap w:val="0"/>
            <w:vAlign w:val="center"/>
          </w:tcPr>
          <w:p>
            <w:pPr>
              <w:jc w:val="center"/>
              <w:rPr>
                <w:color w:val="auto"/>
                <w:highlight w:val="none"/>
              </w:rPr>
            </w:pPr>
          </w:p>
        </w:tc>
        <w:tc>
          <w:tcPr>
            <w:tcW w:w="678" w:type="pct"/>
            <w:noWrap w:val="0"/>
            <w:vAlign w:val="center"/>
          </w:tcPr>
          <w:p>
            <w:pPr>
              <w:jc w:val="center"/>
              <w:rPr>
                <w:color w:val="auto"/>
                <w:highlight w:val="none"/>
              </w:rPr>
            </w:pPr>
            <w:r>
              <w:rPr>
                <w:color w:val="auto"/>
                <w:highlight w:val="none"/>
              </w:rPr>
              <w:t>鱼类个体生物学及种群结构</w:t>
            </w:r>
          </w:p>
        </w:tc>
        <w:tc>
          <w:tcPr>
            <w:tcW w:w="2662" w:type="pct"/>
            <w:noWrap w:val="0"/>
            <w:vAlign w:val="center"/>
          </w:tcPr>
          <w:p>
            <w:pPr>
              <w:jc w:val="center"/>
              <w:rPr>
                <w:color w:val="auto"/>
                <w:highlight w:val="none"/>
              </w:rPr>
            </w:pPr>
            <w:r>
              <w:rPr>
                <w:color w:val="auto"/>
                <w:highlight w:val="none"/>
              </w:rPr>
              <w:t>食物饱满度、性腺发育等个体生物学特征，年龄组成、性比、体长和体重的频数分布、种群数量、生物量等</w:t>
            </w:r>
          </w:p>
        </w:tc>
        <w:tc>
          <w:tcPr>
            <w:tcW w:w="1194" w:type="pct"/>
            <w:noWrap w:val="0"/>
            <w:vAlign w:val="center"/>
          </w:tcPr>
          <w:p>
            <w:pPr>
              <w:jc w:val="center"/>
              <w:rPr>
                <w:color w:val="auto"/>
                <w:highlight w:val="none"/>
              </w:rPr>
            </w:pPr>
            <w:r>
              <w:rPr>
                <w:color w:val="auto"/>
                <w:highlight w:val="none"/>
              </w:rPr>
              <w:t>渔获物调查、声呐水声学调查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5" w:type="pct"/>
            <w:gridSpan w:val="2"/>
            <w:noWrap w:val="0"/>
            <w:vAlign w:val="center"/>
          </w:tcPr>
          <w:p>
            <w:pPr>
              <w:jc w:val="center"/>
              <w:rPr>
                <w:color w:val="auto"/>
                <w:highlight w:val="none"/>
              </w:rPr>
            </w:pPr>
            <w:r>
              <w:rPr>
                <w:color w:val="auto"/>
                <w:highlight w:val="none"/>
              </w:rPr>
              <w:t>栖息地调查</w:t>
            </w:r>
          </w:p>
        </w:tc>
        <w:tc>
          <w:tcPr>
            <w:tcW w:w="2662" w:type="pct"/>
            <w:noWrap w:val="0"/>
            <w:vAlign w:val="center"/>
          </w:tcPr>
          <w:p>
            <w:pPr>
              <w:jc w:val="center"/>
              <w:rPr>
                <w:color w:val="auto"/>
                <w:highlight w:val="none"/>
              </w:rPr>
            </w:pPr>
            <w:r>
              <w:rPr>
                <w:color w:val="auto"/>
                <w:highlight w:val="none"/>
              </w:rPr>
              <w:t>水体（包括产卵场）的长、宽、深、底质类型、流（容）量、水位、流速、水温、透明度、</w:t>
            </w:r>
            <w:r>
              <w:rPr>
                <w:rFonts w:hint="eastAsia"/>
                <w:color w:val="auto"/>
                <w:highlight w:val="none"/>
              </w:rPr>
              <w:t>pH值等理化性质，污染状况（污染源、污染程度）及水利工程建设、渔业等人类活动状况</w:t>
            </w:r>
          </w:p>
        </w:tc>
        <w:tc>
          <w:tcPr>
            <w:tcW w:w="1194" w:type="pct"/>
            <w:noWrap w:val="0"/>
            <w:vAlign w:val="center"/>
          </w:tcPr>
          <w:p>
            <w:pPr>
              <w:jc w:val="center"/>
              <w:rPr>
                <w:color w:val="auto"/>
                <w:highlight w:val="none"/>
              </w:rPr>
            </w:pPr>
            <w:r>
              <w:rPr>
                <w:color w:val="auto"/>
                <w:highlight w:val="none"/>
              </w:rPr>
              <w:t>资料调查和现场测量，按</w:t>
            </w:r>
            <w:r>
              <w:rPr>
                <w:rFonts w:hint="eastAsia"/>
                <w:color w:val="auto"/>
                <w:highlight w:val="none"/>
              </w:rPr>
              <w:t>SL58和SL219的规定执行</w:t>
            </w:r>
          </w:p>
        </w:tc>
      </w:tr>
    </w:tbl>
    <w:p>
      <w:pPr>
        <w:spacing w:line="360" w:lineRule="auto"/>
        <w:ind w:firstLine="480" w:firstLineChars="200"/>
        <w:jc w:val="both"/>
        <w:rPr>
          <w:color w:val="auto"/>
          <w:sz w:val="24"/>
          <w:highlight w:val="none"/>
        </w:rPr>
      </w:pPr>
      <w:r>
        <w:rPr>
          <w:color w:val="auto"/>
          <w:sz w:val="24"/>
          <w:highlight w:val="none"/>
        </w:rPr>
        <w:t>5）渔业资源调查：不同水域天然捕捞渔获量、渔获物的种类组成、渔获物相对数量比例及相对重量比例；珍稀、特有和主要经济鱼类等主要渔获对象的种群结构。渔业生产情况调查，包括专（副）业渔民人数、渔船数、作业方式（渔具、渔法）、渔业经济产值等。</w:t>
      </w:r>
    </w:p>
    <w:p>
      <w:pPr>
        <w:spacing w:line="360" w:lineRule="auto"/>
        <w:ind w:firstLine="480" w:firstLineChars="200"/>
        <w:jc w:val="both"/>
        <w:rPr>
          <w:color w:val="auto"/>
          <w:sz w:val="24"/>
          <w:highlight w:val="none"/>
        </w:rPr>
      </w:pPr>
      <w:r>
        <w:rPr>
          <w:color w:val="auto"/>
          <w:sz w:val="24"/>
          <w:highlight w:val="none"/>
        </w:rPr>
        <w:t>6）水生维管束植物调查：包括种类、分布、生物量、优势种。</w:t>
      </w:r>
    </w:p>
    <w:p>
      <w:pPr>
        <w:spacing w:line="360" w:lineRule="auto"/>
        <w:ind w:firstLine="480" w:firstLineChars="200"/>
        <w:jc w:val="both"/>
        <w:rPr>
          <w:rFonts w:hint="eastAsia"/>
          <w:color w:val="auto"/>
          <w:sz w:val="24"/>
          <w:highlight w:val="none"/>
        </w:rPr>
      </w:pPr>
      <w:r>
        <w:rPr>
          <w:color w:val="auto"/>
          <w:sz w:val="24"/>
          <w:highlight w:val="none"/>
        </w:rPr>
        <w:t>7）保护物种调查：重点调查受保护的珍稀濒危物种、关键种、土著种、建群种和特有种，天然的重要经济物种，调查其类型、分布范围、保护级别、保护状况、存在问题等。</w:t>
      </w:r>
    </w:p>
    <w:p>
      <w:pPr>
        <w:spacing w:line="360" w:lineRule="auto"/>
        <w:ind w:firstLine="480" w:firstLineChars="200"/>
        <w:jc w:val="both"/>
        <w:rPr>
          <w:rFonts w:hint="eastAsia"/>
          <w:color w:val="auto"/>
          <w:sz w:val="24"/>
          <w:highlight w:val="none"/>
        </w:rPr>
      </w:pPr>
      <w:r>
        <w:rPr>
          <w:color w:val="auto"/>
          <w:sz w:val="24"/>
          <w:highlight w:val="none"/>
        </w:rPr>
        <w:t>2</w:t>
      </w:r>
      <w:r>
        <w:rPr>
          <w:rFonts w:hint="eastAsia"/>
          <w:color w:val="auto"/>
          <w:sz w:val="24"/>
          <w:highlight w:val="none"/>
        </w:rPr>
        <w:t>.</w:t>
      </w:r>
      <w:r>
        <w:rPr>
          <w:color w:val="auto"/>
          <w:sz w:val="24"/>
          <w:highlight w:val="none"/>
        </w:rPr>
        <w:t>资料收集</w:t>
      </w:r>
    </w:p>
    <w:p>
      <w:pPr>
        <w:spacing w:line="360" w:lineRule="auto"/>
        <w:ind w:firstLine="480" w:firstLineChars="200"/>
        <w:jc w:val="both"/>
        <w:rPr>
          <w:rFonts w:hint="eastAsia"/>
          <w:color w:val="auto"/>
          <w:sz w:val="24"/>
          <w:highlight w:val="none"/>
        </w:rPr>
      </w:pPr>
      <w:r>
        <w:rPr>
          <w:color w:val="auto"/>
          <w:sz w:val="24"/>
          <w:highlight w:val="none"/>
        </w:rPr>
        <w:t>整理本单位已有资料，搜集整理文献资料，包括安徽省等地方动植物志，农业部门提供的鱼类资源和渔业资源等资料以及公开发表的学术资料、未发表的内部资料，尽量收集工程涉及的河流、水库水生态现状资料。</w:t>
      </w:r>
    </w:p>
    <w:p>
      <w:pPr>
        <w:spacing w:line="360" w:lineRule="auto"/>
        <w:ind w:firstLine="480" w:firstLineChars="200"/>
        <w:jc w:val="both"/>
        <w:rPr>
          <w:rFonts w:hint="eastAsia"/>
          <w:color w:val="auto"/>
          <w:sz w:val="24"/>
          <w:highlight w:val="none"/>
        </w:rPr>
      </w:pPr>
      <w:r>
        <w:rPr>
          <w:color w:val="auto"/>
          <w:sz w:val="24"/>
          <w:highlight w:val="none"/>
        </w:rPr>
        <w:t>3</w:t>
      </w:r>
      <w:r>
        <w:rPr>
          <w:rFonts w:hint="eastAsia"/>
          <w:color w:val="auto"/>
          <w:sz w:val="24"/>
          <w:highlight w:val="none"/>
        </w:rPr>
        <w:t>.</w:t>
      </w:r>
      <w:r>
        <w:rPr>
          <w:color w:val="auto"/>
          <w:sz w:val="24"/>
          <w:highlight w:val="none"/>
        </w:rPr>
        <w:t>现状调查</w:t>
      </w:r>
    </w:p>
    <w:p>
      <w:pPr>
        <w:spacing w:line="360" w:lineRule="auto"/>
        <w:ind w:firstLine="480" w:firstLineChars="200"/>
        <w:jc w:val="both"/>
        <w:rPr>
          <w:rFonts w:hint="eastAsia"/>
          <w:color w:val="auto"/>
          <w:sz w:val="24"/>
          <w:highlight w:val="none"/>
        </w:rPr>
      </w:pPr>
      <w:r>
        <w:rPr>
          <w:color w:val="auto"/>
          <w:sz w:val="24"/>
          <w:highlight w:val="none"/>
        </w:rPr>
        <w:t>（1）调查监测规范依据</w:t>
      </w:r>
    </w:p>
    <w:p>
      <w:pPr>
        <w:spacing w:line="360" w:lineRule="auto"/>
        <w:ind w:firstLine="480" w:firstLineChars="200"/>
        <w:jc w:val="both"/>
        <w:rPr>
          <w:rFonts w:hint="eastAsia"/>
          <w:color w:val="auto"/>
          <w:sz w:val="24"/>
          <w:highlight w:val="none"/>
        </w:rPr>
      </w:pPr>
      <w:r>
        <w:rPr>
          <w:color w:val="auto"/>
          <w:sz w:val="24"/>
          <w:highlight w:val="none"/>
        </w:rPr>
        <w:t>水生态现状调查按照《水域生态系统观测规范》、《河流生态调查技术方法》、《生物多样性观测技术导则</w:t>
      </w:r>
      <w:r>
        <w:rPr>
          <w:rFonts w:hint="eastAsia"/>
          <w:color w:val="auto"/>
          <w:sz w:val="24"/>
          <w:highlight w:val="none"/>
        </w:rPr>
        <w:t xml:space="preserve"> 内陆水域鱼类</w:t>
      </w:r>
      <w:r>
        <w:rPr>
          <w:color w:val="auto"/>
          <w:sz w:val="24"/>
          <w:highlight w:val="none"/>
        </w:rPr>
        <w:t>》（HJ710</w:t>
      </w:r>
      <w:r>
        <w:rPr>
          <w:rFonts w:hint="eastAsia"/>
          <w:color w:val="auto"/>
          <w:sz w:val="24"/>
          <w:highlight w:val="none"/>
        </w:rPr>
        <w:t>.7</w:t>
      </w:r>
      <w:r>
        <w:rPr>
          <w:color w:val="auto"/>
          <w:sz w:val="24"/>
          <w:highlight w:val="none"/>
        </w:rPr>
        <w:t>-2014）、《生物多样性观测技术导则</w:t>
      </w:r>
      <w:r>
        <w:rPr>
          <w:rFonts w:hint="eastAsia"/>
          <w:color w:val="auto"/>
          <w:sz w:val="24"/>
          <w:highlight w:val="none"/>
        </w:rPr>
        <w:t xml:space="preserve"> 淡水底栖大型无脊椎动物</w:t>
      </w:r>
      <w:r>
        <w:rPr>
          <w:color w:val="auto"/>
          <w:sz w:val="24"/>
          <w:highlight w:val="none"/>
        </w:rPr>
        <w:t>》（HJ710</w:t>
      </w:r>
      <w:r>
        <w:rPr>
          <w:rFonts w:hint="eastAsia"/>
          <w:color w:val="auto"/>
          <w:sz w:val="24"/>
          <w:highlight w:val="none"/>
        </w:rPr>
        <w:t>.8</w:t>
      </w:r>
      <w:r>
        <w:rPr>
          <w:color w:val="auto"/>
          <w:sz w:val="24"/>
          <w:highlight w:val="none"/>
        </w:rPr>
        <w:t>-2014）、《生物多样性观测技术导则</w:t>
      </w:r>
      <w:r>
        <w:rPr>
          <w:rFonts w:hint="eastAsia"/>
          <w:color w:val="auto"/>
          <w:sz w:val="24"/>
          <w:highlight w:val="none"/>
        </w:rPr>
        <w:t xml:space="preserve"> 水生维管植物</w:t>
      </w:r>
      <w:r>
        <w:rPr>
          <w:color w:val="auto"/>
          <w:sz w:val="24"/>
          <w:highlight w:val="none"/>
        </w:rPr>
        <w:t>》（HJ710</w:t>
      </w:r>
      <w:r>
        <w:rPr>
          <w:rFonts w:hint="eastAsia"/>
          <w:color w:val="auto"/>
          <w:sz w:val="24"/>
          <w:highlight w:val="none"/>
        </w:rPr>
        <w:t>.12</w:t>
      </w:r>
      <w:r>
        <w:rPr>
          <w:color w:val="auto"/>
          <w:sz w:val="24"/>
          <w:highlight w:val="none"/>
        </w:rPr>
        <w:t>-2014）等</w:t>
      </w:r>
      <w:r>
        <w:rPr>
          <w:rFonts w:hint="eastAsia"/>
          <w:color w:val="auto"/>
          <w:sz w:val="24"/>
          <w:highlight w:val="none"/>
        </w:rPr>
        <w:t>生态</w:t>
      </w:r>
      <w:r>
        <w:rPr>
          <w:color w:val="auto"/>
          <w:sz w:val="24"/>
          <w:highlight w:val="none"/>
        </w:rPr>
        <w:t>环境部等发布的相关生态保护标准，以及其他科学的生态调查技术。</w:t>
      </w:r>
    </w:p>
    <w:p>
      <w:pPr>
        <w:spacing w:line="360" w:lineRule="auto"/>
        <w:ind w:firstLine="480" w:firstLineChars="200"/>
        <w:jc w:val="both"/>
        <w:rPr>
          <w:rFonts w:hint="eastAsia"/>
          <w:color w:val="auto"/>
          <w:sz w:val="24"/>
          <w:highlight w:val="none"/>
        </w:rPr>
      </w:pPr>
      <w:r>
        <w:rPr>
          <w:color w:val="auto"/>
          <w:sz w:val="24"/>
          <w:highlight w:val="none"/>
        </w:rPr>
        <w:t>（2）调查监测一般原则</w:t>
      </w:r>
    </w:p>
    <w:p>
      <w:pPr>
        <w:spacing w:line="360" w:lineRule="auto"/>
        <w:ind w:firstLine="480" w:firstLineChars="200"/>
        <w:jc w:val="both"/>
        <w:rPr>
          <w:rFonts w:hint="eastAsia"/>
          <w:color w:val="auto"/>
          <w:sz w:val="24"/>
          <w:highlight w:val="none"/>
        </w:rPr>
      </w:pPr>
      <w:r>
        <w:rPr>
          <w:color w:val="auto"/>
          <w:sz w:val="24"/>
          <w:highlight w:val="none"/>
        </w:rPr>
        <w:t>1）代表性：采样点所采集的样品要对整个调查水域的某项指标或多项指标有较好的代表性；</w:t>
      </w:r>
    </w:p>
    <w:p>
      <w:pPr>
        <w:spacing w:line="360" w:lineRule="auto"/>
        <w:ind w:firstLine="480" w:firstLineChars="200"/>
        <w:jc w:val="both"/>
        <w:rPr>
          <w:rFonts w:hint="eastAsia"/>
          <w:color w:val="auto"/>
          <w:sz w:val="24"/>
          <w:highlight w:val="none"/>
        </w:rPr>
      </w:pPr>
      <w:r>
        <w:rPr>
          <w:color w:val="auto"/>
          <w:sz w:val="24"/>
          <w:highlight w:val="none"/>
        </w:rPr>
        <w:t>2）要求和注意事项：在保证达到必要的精度和具有统计学意义的样本数的前提下，布设的采样点应尽量少，要兼顾技术指标和费用的投资。</w:t>
      </w:r>
    </w:p>
    <w:p>
      <w:pPr>
        <w:spacing w:line="360" w:lineRule="auto"/>
        <w:ind w:firstLine="480" w:firstLineChars="200"/>
        <w:jc w:val="both"/>
        <w:rPr>
          <w:rFonts w:hint="eastAsia"/>
          <w:color w:val="auto"/>
          <w:sz w:val="24"/>
          <w:highlight w:val="none"/>
        </w:rPr>
      </w:pPr>
      <w:r>
        <w:rPr>
          <w:color w:val="auto"/>
          <w:sz w:val="24"/>
          <w:highlight w:val="none"/>
        </w:rPr>
        <w:t>（3）调查时间及频次</w:t>
      </w:r>
    </w:p>
    <w:p>
      <w:pPr>
        <w:spacing w:line="360" w:lineRule="auto"/>
        <w:ind w:firstLine="480" w:firstLineChars="200"/>
        <w:jc w:val="both"/>
        <w:rPr>
          <w:rFonts w:hint="eastAsia"/>
          <w:color w:val="auto"/>
          <w:sz w:val="24"/>
          <w:highlight w:val="none"/>
        </w:rPr>
      </w:pPr>
      <w:r>
        <w:rPr>
          <w:color w:val="auto"/>
          <w:sz w:val="24"/>
          <w:highlight w:val="none"/>
        </w:rPr>
        <w:t>202</w:t>
      </w:r>
      <w:r>
        <w:rPr>
          <w:rFonts w:hint="eastAsia"/>
          <w:color w:val="auto"/>
          <w:sz w:val="24"/>
          <w:highlight w:val="none"/>
          <w:lang w:val="en-US" w:eastAsia="zh-CN"/>
        </w:rPr>
        <w:t>4</w:t>
      </w:r>
      <w:r>
        <w:rPr>
          <w:color w:val="auto"/>
          <w:sz w:val="24"/>
          <w:highlight w:val="none"/>
        </w:rPr>
        <w:t>年</w:t>
      </w:r>
      <w:bookmarkStart w:id="1" w:name="_GoBack"/>
      <w:bookmarkEnd w:id="1"/>
      <w:r>
        <w:rPr>
          <w:rFonts w:hint="eastAsia"/>
          <w:color w:val="auto"/>
          <w:sz w:val="24"/>
          <w:highlight w:val="none"/>
          <w:lang w:val="en-US" w:eastAsia="zh-CN"/>
        </w:rPr>
        <w:t>5</w:t>
      </w:r>
      <w:r>
        <w:rPr>
          <w:color w:val="auto"/>
          <w:sz w:val="24"/>
          <w:highlight w:val="none"/>
        </w:rPr>
        <w:t>月。同步进行鱼类、浮游生物、底栖动物和水生维管束植物调查。应给出采样地样方实测的生物量、物种多样性等数据，给出主要生物物种名录、受保护的野生动植物物种等调查结果。</w:t>
      </w:r>
    </w:p>
    <w:p>
      <w:pPr>
        <w:spacing w:line="360" w:lineRule="auto"/>
        <w:ind w:firstLine="480" w:firstLineChars="200"/>
        <w:jc w:val="both"/>
        <w:rPr>
          <w:rFonts w:hint="eastAsia"/>
          <w:color w:val="auto"/>
          <w:sz w:val="24"/>
          <w:highlight w:val="none"/>
        </w:rPr>
      </w:pPr>
      <w:r>
        <w:rPr>
          <w:color w:val="auto"/>
          <w:sz w:val="24"/>
          <w:highlight w:val="none"/>
        </w:rPr>
        <w:t>（4）除鱼类外的监测点位</w:t>
      </w:r>
    </w:p>
    <w:p>
      <w:pPr>
        <w:spacing w:line="360" w:lineRule="auto"/>
        <w:ind w:firstLine="480" w:firstLineChars="200"/>
        <w:jc w:val="both"/>
        <w:rPr>
          <w:rFonts w:hint="eastAsia"/>
          <w:color w:val="auto"/>
          <w:sz w:val="24"/>
          <w:highlight w:val="none"/>
        </w:rPr>
      </w:pPr>
      <w:r>
        <w:rPr>
          <w:color w:val="auto"/>
          <w:sz w:val="24"/>
          <w:highlight w:val="none"/>
        </w:rPr>
        <w:t>本工程环评水生态现状监测</w:t>
      </w:r>
      <w:r>
        <w:rPr>
          <w:rFonts w:hint="eastAsia"/>
          <w:color w:val="auto"/>
          <w:sz w:val="24"/>
          <w:highlight w:val="none"/>
          <w:lang w:val="en-US" w:eastAsia="zh-CN"/>
        </w:rPr>
        <w:t>每条渠道设置1个，共4个</w:t>
      </w:r>
      <w:r>
        <w:rPr>
          <w:color w:val="auto"/>
          <w:sz w:val="24"/>
          <w:highlight w:val="none"/>
        </w:rPr>
        <w:t>断面</w:t>
      </w:r>
      <w:r>
        <w:rPr>
          <w:rFonts w:hint="eastAsia"/>
          <w:color w:val="auto"/>
          <w:sz w:val="24"/>
          <w:highlight w:val="none"/>
          <w:lang w:eastAsia="zh-CN"/>
        </w:rPr>
        <w:t>，</w:t>
      </w:r>
      <w:r>
        <w:rPr>
          <w:rFonts w:hint="eastAsia"/>
          <w:color w:val="auto"/>
          <w:sz w:val="24"/>
          <w:highlight w:val="none"/>
          <w:lang w:val="en-US" w:eastAsia="zh-CN"/>
        </w:rPr>
        <w:t>同每条渠道水质监测断面一致，详</w:t>
      </w:r>
      <w:r>
        <w:rPr>
          <w:rFonts w:hint="eastAsia"/>
          <w:color w:val="auto"/>
          <w:sz w:val="24"/>
          <w:highlight w:val="none"/>
        </w:rPr>
        <w:t>见附图</w:t>
      </w:r>
      <w:r>
        <w:rPr>
          <w:color w:val="auto"/>
          <w:sz w:val="24"/>
          <w:highlight w:val="none"/>
        </w:rPr>
        <w:t>。</w:t>
      </w:r>
    </w:p>
    <w:p>
      <w:pPr>
        <w:adjustRightInd w:val="0"/>
        <w:snapToGrid w:val="0"/>
        <w:spacing w:line="360" w:lineRule="auto"/>
        <w:ind w:firstLine="480"/>
        <w:jc w:val="both"/>
        <w:rPr>
          <w:rFonts w:hint="eastAsia"/>
          <w:color w:val="auto"/>
          <w:sz w:val="24"/>
          <w:highlight w:val="none"/>
        </w:rPr>
      </w:pPr>
      <w:r>
        <w:rPr>
          <w:color w:val="auto"/>
          <w:sz w:val="24"/>
          <w:highlight w:val="none"/>
        </w:rPr>
        <w:t>（二）陆生生态</w:t>
      </w:r>
    </w:p>
    <w:p>
      <w:pPr>
        <w:adjustRightInd w:val="0"/>
        <w:snapToGrid w:val="0"/>
        <w:spacing w:line="360" w:lineRule="auto"/>
        <w:ind w:firstLine="480"/>
        <w:jc w:val="both"/>
        <w:rPr>
          <w:rFonts w:hint="eastAsia"/>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总体原则</w:t>
      </w:r>
    </w:p>
    <w:p>
      <w:pPr>
        <w:adjustRightInd w:val="0"/>
        <w:snapToGrid w:val="0"/>
        <w:spacing w:line="360" w:lineRule="auto"/>
        <w:ind w:firstLine="480"/>
        <w:jc w:val="both"/>
        <w:rPr>
          <w:rFonts w:hint="eastAsia"/>
          <w:color w:val="auto"/>
          <w:sz w:val="24"/>
          <w:highlight w:val="none"/>
        </w:rPr>
      </w:pPr>
      <w:r>
        <w:rPr>
          <w:color w:val="auto"/>
          <w:sz w:val="24"/>
          <w:highlight w:val="none"/>
        </w:rPr>
        <w:t>生态现状调查与评价按</w:t>
      </w:r>
      <w:r>
        <w:rPr>
          <w:rFonts w:hint="eastAsia"/>
          <w:color w:val="auto"/>
          <w:sz w:val="24"/>
          <w:highlight w:val="none"/>
        </w:rPr>
        <w:t>二</w:t>
      </w:r>
      <w:r>
        <w:rPr>
          <w:color w:val="auto"/>
          <w:sz w:val="24"/>
          <w:highlight w:val="none"/>
        </w:rPr>
        <w:t>级评价执行，具体要求详见《环境影响评价技术导则 生态影响》（HJ 19-2022），另外调查技术规范参照《生态环境状况评价技术规范》（HJ192-2015）、《生物多样性观测技术导则 陆生维管束植物》（HJ710.1-2014）、《生物多样性观测技术导则 陆生哺乳动物》（HJ710.3-2014）、《生物多样性观测技术导则 鸟类》（HJ710.</w:t>
      </w:r>
      <w:r>
        <w:rPr>
          <w:rFonts w:hint="eastAsia"/>
          <w:color w:val="auto"/>
          <w:sz w:val="24"/>
          <w:highlight w:val="none"/>
        </w:rPr>
        <w:t>4</w:t>
      </w:r>
      <w:r>
        <w:rPr>
          <w:color w:val="auto"/>
          <w:sz w:val="24"/>
          <w:highlight w:val="none"/>
        </w:rPr>
        <w:t>-2014）、《生物多样性观测技术导则 爬行动物》（HJ710.5-2014）、《生物多样性观测技术导则 两栖动物》（HJ710.6-2014）等</w:t>
      </w:r>
      <w:r>
        <w:rPr>
          <w:rFonts w:hint="eastAsia"/>
          <w:color w:val="auto"/>
          <w:sz w:val="24"/>
          <w:highlight w:val="none"/>
        </w:rPr>
        <w:t>生态</w:t>
      </w:r>
      <w:r>
        <w:rPr>
          <w:color w:val="auto"/>
          <w:sz w:val="24"/>
          <w:highlight w:val="none"/>
        </w:rPr>
        <w:t>环境部等发布的相关生态保护标准，以及其他科学的生态调查技术。</w:t>
      </w:r>
    </w:p>
    <w:p>
      <w:pPr>
        <w:adjustRightInd w:val="0"/>
        <w:snapToGrid w:val="0"/>
        <w:spacing w:line="360" w:lineRule="auto"/>
        <w:ind w:firstLine="480"/>
        <w:jc w:val="both"/>
        <w:rPr>
          <w:rFonts w:hint="eastAsia"/>
          <w:color w:val="auto"/>
          <w:sz w:val="24"/>
          <w:highlight w:val="none"/>
        </w:rPr>
      </w:pPr>
      <w:r>
        <w:rPr>
          <w:color w:val="auto"/>
          <w:sz w:val="24"/>
          <w:highlight w:val="none"/>
        </w:rPr>
        <w:t>2</w:t>
      </w:r>
      <w:r>
        <w:rPr>
          <w:rFonts w:hint="eastAsia"/>
          <w:color w:val="auto"/>
          <w:sz w:val="24"/>
          <w:highlight w:val="none"/>
        </w:rPr>
        <w:t>.</w:t>
      </w:r>
      <w:r>
        <w:rPr>
          <w:color w:val="auto"/>
          <w:sz w:val="24"/>
          <w:highlight w:val="none"/>
        </w:rPr>
        <w:t>陆生生态评价范围</w:t>
      </w:r>
    </w:p>
    <w:p>
      <w:pPr>
        <w:adjustRightInd w:val="0"/>
        <w:snapToGrid w:val="0"/>
        <w:spacing w:line="360" w:lineRule="auto"/>
        <w:ind w:firstLine="480"/>
        <w:jc w:val="both"/>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各干渠中心线两侧及起终点外</w:t>
      </w:r>
      <w:r>
        <w:rPr>
          <w:rFonts w:hint="eastAsia" w:ascii="Times New Roman" w:hAnsi="Times New Roman" w:eastAsia="宋体" w:cs="Times New Roman"/>
          <w:color w:val="auto"/>
          <w:sz w:val="24"/>
          <w:highlight w:val="none"/>
        </w:rPr>
        <w:t>300m范围</w:t>
      </w:r>
      <w:r>
        <w:rPr>
          <w:rFonts w:hint="eastAsia" w:cs="Times New Roman"/>
          <w:color w:val="auto"/>
          <w:sz w:val="24"/>
          <w:highlight w:val="none"/>
          <w:lang w:val="en-US" w:eastAsia="zh-CN"/>
        </w:rPr>
        <w:t>和</w:t>
      </w:r>
      <w:r>
        <w:rPr>
          <w:rFonts w:hint="eastAsia" w:ascii="Times New Roman" w:hAnsi="Times New Roman" w:eastAsia="宋体" w:cs="Times New Roman"/>
          <w:color w:val="auto"/>
          <w:sz w:val="24"/>
          <w:highlight w:val="none"/>
          <w:lang w:val="en-US" w:eastAsia="zh-CN"/>
        </w:rPr>
        <w:t>临时用地</w:t>
      </w:r>
      <w:r>
        <w:rPr>
          <w:rFonts w:hint="eastAsia" w:ascii="Times New Roman" w:hAnsi="Times New Roman" w:eastAsia="宋体" w:cs="Times New Roman"/>
          <w:color w:val="auto"/>
          <w:sz w:val="24"/>
          <w:highlight w:val="none"/>
        </w:rPr>
        <w:t>。</w:t>
      </w:r>
    </w:p>
    <w:p>
      <w:pPr>
        <w:adjustRightInd w:val="0"/>
        <w:snapToGrid w:val="0"/>
        <w:spacing w:line="360" w:lineRule="auto"/>
        <w:ind w:firstLine="480"/>
        <w:jc w:val="both"/>
        <w:rPr>
          <w:rFonts w:hint="eastAsia"/>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调查内容</w:t>
      </w:r>
    </w:p>
    <w:p>
      <w:pPr>
        <w:adjustRightInd w:val="0"/>
        <w:snapToGrid w:val="0"/>
        <w:spacing w:line="360" w:lineRule="auto"/>
        <w:ind w:firstLine="480"/>
        <w:jc w:val="both"/>
        <w:rPr>
          <w:rFonts w:hint="eastAsia"/>
          <w:color w:val="auto"/>
          <w:sz w:val="24"/>
          <w:highlight w:val="none"/>
        </w:rPr>
      </w:pPr>
      <w:r>
        <w:rPr>
          <w:color w:val="auto"/>
          <w:sz w:val="24"/>
          <w:highlight w:val="none"/>
        </w:rPr>
        <w:t>生态环境现状调查是进行生态环境影响评价的基础性工作，调查的主要内容和指标应满足陆生生态系统结构与功能分析的要求，本次调查包含2个部分的内容，一是自然生态系统（包括植被和动物），二是农田生态系统。植被调查根据有关资源专题图等提供的信息，在初步分析的基础上，以现场踏勘和样方调查(按照中国生态系统研究网络观察与分析标准方法《陆地生物群落调查观察与分析》)相结合的方式进行。本评价确定的主要调查内容见表</w:t>
      </w:r>
      <w:r>
        <w:rPr>
          <w:rFonts w:hint="eastAsia"/>
          <w:color w:val="auto"/>
          <w:sz w:val="24"/>
          <w:highlight w:val="none"/>
          <w:lang w:val="en-US" w:eastAsia="zh-CN"/>
        </w:rPr>
        <w:t>2</w:t>
      </w:r>
      <w:r>
        <w:rPr>
          <w:color w:val="auto"/>
          <w:sz w:val="24"/>
          <w:highlight w:val="none"/>
        </w:rPr>
        <w:t>。</w:t>
      </w:r>
    </w:p>
    <w:p>
      <w:pPr>
        <w:adjustRightInd w:val="0"/>
        <w:snapToGrid w:val="0"/>
        <w:spacing w:line="360" w:lineRule="auto"/>
        <w:jc w:val="center"/>
        <w:rPr>
          <w:b/>
          <w:color w:val="auto"/>
          <w:sz w:val="24"/>
          <w:highlight w:val="none"/>
        </w:rPr>
      </w:pPr>
      <w:r>
        <w:rPr>
          <w:b/>
          <w:color w:val="auto"/>
          <w:sz w:val="24"/>
          <w:highlight w:val="none"/>
        </w:rPr>
        <w:t>表</w:t>
      </w:r>
      <w:r>
        <w:rPr>
          <w:rFonts w:hint="eastAsia"/>
          <w:b/>
          <w:color w:val="auto"/>
          <w:sz w:val="24"/>
          <w:highlight w:val="none"/>
          <w:lang w:val="en-US" w:eastAsia="zh-CN"/>
        </w:rPr>
        <w:t>2</w:t>
      </w:r>
      <w:r>
        <w:rPr>
          <w:b/>
          <w:color w:val="auto"/>
          <w:sz w:val="24"/>
          <w:highlight w:val="none"/>
        </w:rPr>
        <w:t xml:space="preserve">  生态环境现状调查的主要内容</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3203"/>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5" w:type="pct"/>
            <w:noWrap w:val="0"/>
            <w:vAlign w:val="center"/>
          </w:tcPr>
          <w:p>
            <w:pPr>
              <w:widowControl/>
              <w:jc w:val="center"/>
              <w:rPr>
                <w:color w:val="auto"/>
                <w:kern w:val="0"/>
                <w:szCs w:val="21"/>
                <w:highlight w:val="none"/>
              </w:rPr>
            </w:pPr>
            <w:r>
              <w:rPr>
                <w:color w:val="auto"/>
                <w:kern w:val="0"/>
                <w:szCs w:val="21"/>
                <w:highlight w:val="none"/>
              </w:rPr>
              <w:t>调查内容</w:t>
            </w:r>
          </w:p>
        </w:tc>
        <w:tc>
          <w:tcPr>
            <w:tcW w:w="1879" w:type="pct"/>
            <w:noWrap w:val="0"/>
            <w:vAlign w:val="center"/>
          </w:tcPr>
          <w:p>
            <w:pPr>
              <w:widowControl/>
              <w:jc w:val="center"/>
              <w:rPr>
                <w:color w:val="auto"/>
                <w:kern w:val="0"/>
                <w:szCs w:val="21"/>
                <w:highlight w:val="none"/>
              </w:rPr>
            </w:pPr>
            <w:r>
              <w:rPr>
                <w:color w:val="auto"/>
                <w:kern w:val="0"/>
                <w:szCs w:val="21"/>
                <w:highlight w:val="none"/>
              </w:rPr>
              <w:t>主要指标</w:t>
            </w:r>
          </w:p>
        </w:tc>
        <w:tc>
          <w:tcPr>
            <w:tcW w:w="1795" w:type="pct"/>
            <w:noWrap w:val="0"/>
            <w:vAlign w:val="center"/>
          </w:tcPr>
          <w:p>
            <w:pPr>
              <w:widowControl/>
              <w:jc w:val="center"/>
              <w:rPr>
                <w:color w:val="auto"/>
                <w:kern w:val="0"/>
                <w:szCs w:val="21"/>
                <w:highlight w:val="none"/>
              </w:rPr>
            </w:pPr>
            <w:r>
              <w:rPr>
                <w:color w:val="auto"/>
                <w:kern w:val="0"/>
                <w:szCs w:val="21"/>
                <w:highlight w:val="none"/>
              </w:rPr>
              <w:t>评价作用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5" w:type="pct"/>
            <w:noWrap w:val="0"/>
            <w:vAlign w:val="center"/>
          </w:tcPr>
          <w:p>
            <w:pPr>
              <w:widowControl/>
              <w:jc w:val="center"/>
              <w:rPr>
                <w:color w:val="auto"/>
                <w:kern w:val="0"/>
                <w:szCs w:val="21"/>
                <w:highlight w:val="none"/>
              </w:rPr>
            </w:pPr>
            <w:r>
              <w:rPr>
                <w:color w:val="auto"/>
                <w:kern w:val="0"/>
                <w:szCs w:val="21"/>
                <w:highlight w:val="none"/>
              </w:rPr>
              <w:t>陆生植被与植物</w:t>
            </w:r>
            <w:r>
              <w:rPr>
                <w:rFonts w:hint="eastAsia"/>
                <w:color w:val="auto"/>
                <w:kern w:val="0"/>
                <w:szCs w:val="21"/>
                <w:highlight w:val="none"/>
              </w:rPr>
              <w:t>群落</w:t>
            </w:r>
          </w:p>
        </w:tc>
        <w:tc>
          <w:tcPr>
            <w:tcW w:w="1879" w:type="pct"/>
            <w:noWrap w:val="0"/>
            <w:vAlign w:val="center"/>
          </w:tcPr>
          <w:p>
            <w:pPr>
              <w:widowControl/>
              <w:jc w:val="center"/>
              <w:rPr>
                <w:color w:val="auto"/>
                <w:kern w:val="0"/>
                <w:szCs w:val="21"/>
                <w:highlight w:val="none"/>
              </w:rPr>
            </w:pPr>
            <w:r>
              <w:rPr>
                <w:color w:val="auto"/>
                <w:kern w:val="0"/>
                <w:szCs w:val="21"/>
                <w:highlight w:val="none"/>
              </w:rPr>
              <w:t>类型、分布、面积、植物种类、植物区系、多样性、生长情况、生物量、植物群落结构及演替规律，群落中关键种、建群种、优势种等。</w:t>
            </w:r>
          </w:p>
        </w:tc>
        <w:tc>
          <w:tcPr>
            <w:tcW w:w="1795" w:type="pct"/>
            <w:noWrap w:val="0"/>
            <w:vAlign w:val="center"/>
          </w:tcPr>
          <w:p>
            <w:pPr>
              <w:widowControl/>
              <w:jc w:val="center"/>
              <w:rPr>
                <w:color w:val="auto"/>
                <w:kern w:val="0"/>
                <w:szCs w:val="21"/>
                <w:highlight w:val="none"/>
              </w:rPr>
            </w:pPr>
            <w:r>
              <w:rPr>
                <w:color w:val="auto"/>
                <w:kern w:val="0"/>
                <w:szCs w:val="21"/>
                <w:highlight w:val="none"/>
              </w:rPr>
              <w:t>分析生态结构、类型、面积；分析生态因子相互关系，估算评价区自然系统生产力本底值，评价生态完整性现状，明确主要生态问题及保护目标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5" w:type="pct"/>
            <w:noWrap w:val="0"/>
            <w:vAlign w:val="center"/>
          </w:tcPr>
          <w:p>
            <w:pPr>
              <w:widowControl/>
              <w:jc w:val="center"/>
              <w:rPr>
                <w:color w:val="auto"/>
                <w:kern w:val="0"/>
                <w:szCs w:val="21"/>
                <w:highlight w:val="none"/>
              </w:rPr>
            </w:pPr>
            <w:r>
              <w:rPr>
                <w:color w:val="auto"/>
                <w:kern w:val="0"/>
                <w:szCs w:val="21"/>
                <w:highlight w:val="none"/>
              </w:rPr>
              <w:t>陆生动物群落</w:t>
            </w:r>
          </w:p>
        </w:tc>
        <w:tc>
          <w:tcPr>
            <w:tcW w:w="1879" w:type="pct"/>
            <w:noWrap w:val="0"/>
            <w:vAlign w:val="center"/>
          </w:tcPr>
          <w:p>
            <w:pPr>
              <w:widowControl/>
              <w:jc w:val="center"/>
              <w:rPr>
                <w:color w:val="auto"/>
                <w:kern w:val="0"/>
                <w:szCs w:val="21"/>
                <w:highlight w:val="none"/>
              </w:rPr>
            </w:pPr>
            <w:r>
              <w:rPr>
                <w:color w:val="auto"/>
                <w:kern w:val="0"/>
                <w:szCs w:val="21"/>
                <w:highlight w:val="none"/>
              </w:rPr>
              <w:t>动物区系、物种组成、类型、分布特征、栖息地、重要物种的分布和生态学特征、种群现状，迁徙物种的主要迁徙路线、迁徙时间，保护与利用状况，重要生境分布</w:t>
            </w:r>
          </w:p>
        </w:tc>
        <w:tc>
          <w:tcPr>
            <w:tcW w:w="1795" w:type="pct"/>
            <w:noWrap w:val="0"/>
            <w:vAlign w:val="center"/>
          </w:tcPr>
          <w:p>
            <w:pPr>
              <w:widowControl/>
              <w:jc w:val="center"/>
              <w:rPr>
                <w:color w:val="auto"/>
                <w:kern w:val="0"/>
                <w:szCs w:val="21"/>
                <w:highlight w:val="none"/>
              </w:rPr>
            </w:pPr>
            <w:r>
              <w:rPr>
                <w:color w:val="auto"/>
                <w:kern w:val="0"/>
                <w:szCs w:val="21"/>
                <w:highlight w:val="none"/>
              </w:rPr>
              <w:t>分析生物多样性影响，明确敏感保护目标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5" w:type="pct"/>
            <w:noWrap w:val="0"/>
            <w:vAlign w:val="center"/>
          </w:tcPr>
          <w:p>
            <w:pPr>
              <w:widowControl/>
              <w:jc w:val="center"/>
              <w:rPr>
                <w:color w:val="auto"/>
                <w:kern w:val="0"/>
                <w:szCs w:val="21"/>
                <w:highlight w:val="none"/>
              </w:rPr>
            </w:pPr>
            <w:r>
              <w:rPr>
                <w:color w:val="auto"/>
                <w:kern w:val="0"/>
                <w:szCs w:val="21"/>
                <w:highlight w:val="none"/>
              </w:rPr>
              <w:t>农田生态系统</w:t>
            </w:r>
          </w:p>
        </w:tc>
        <w:tc>
          <w:tcPr>
            <w:tcW w:w="1879" w:type="pct"/>
            <w:noWrap w:val="0"/>
            <w:vAlign w:val="center"/>
          </w:tcPr>
          <w:p>
            <w:pPr>
              <w:widowControl/>
              <w:jc w:val="center"/>
              <w:rPr>
                <w:color w:val="auto"/>
                <w:kern w:val="0"/>
                <w:szCs w:val="21"/>
                <w:highlight w:val="none"/>
              </w:rPr>
            </w:pPr>
            <w:r>
              <w:rPr>
                <w:color w:val="auto"/>
                <w:kern w:val="0"/>
                <w:szCs w:val="21"/>
                <w:highlight w:val="none"/>
              </w:rPr>
              <w:t>农田耕作制度：包括作物种类组成、复种指数与作物轮作体系、肥料与农药投入情况、灌溉制度。</w:t>
            </w:r>
          </w:p>
          <w:p>
            <w:pPr>
              <w:widowControl/>
              <w:jc w:val="center"/>
              <w:rPr>
                <w:color w:val="auto"/>
                <w:kern w:val="0"/>
                <w:szCs w:val="21"/>
                <w:highlight w:val="none"/>
              </w:rPr>
            </w:pPr>
            <w:r>
              <w:rPr>
                <w:color w:val="auto"/>
                <w:kern w:val="0"/>
                <w:szCs w:val="21"/>
                <w:highlight w:val="none"/>
              </w:rPr>
              <w:t>作物产量。</w:t>
            </w:r>
          </w:p>
        </w:tc>
        <w:tc>
          <w:tcPr>
            <w:tcW w:w="1795" w:type="pct"/>
            <w:noWrap w:val="0"/>
            <w:vAlign w:val="center"/>
          </w:tcPr>
          <w:p>
            <w:pPr>
              <w:widowControl/>
              <w:jc w:val="center"/>
              <w:rPr>
                <w:color w:val="auto"/>
                <w:kern w:val="0"/>
                <w:szCs w:val="21"/>
                <w:highlight w:val="none"/>
              </w:rPr>
            </w:pPr>
            <w:r>
              <w:rPr>
                <w:color w:val="auto"/>
                <w:kern w:val="0"/>
                <w:szCs w:val="21"/>
                <w:highlight w:val="none"/>
              </w:rPr>
              <w:t>分析农业损失状况</w:t>
            </w:r>
          </w:p>
        </w:tc>
      </w:tr>
    </w:tbl>
    <w:p>
      <w:pPr>
        <w:spacing w:line="360" w:lineRule="auto"/>
        <w:ind w:firstLine="420" w:firstLineChars="175"/>
        <w:jc w:val="both"/>
        <w:rPr>
          <w:color w:val="auto"/>
          <w:sz w:val="24"/>
          <w:highlight w:val="none"/>
        </w:rPr>
      </w:pPr>
      <w:bookmarkStart w:id="0" w:name="_Toc357114019"/>
      <w:r>
        <w:rPr>
          <w:color w:val="auto"/>
          <w:sz w:val="24"/>
          <w:highlight w:val="none"/>
        </w:rPr>
        <w:t>对于自然生态系统调查，应重点调查受保护的珍稀濒危物种、关键种、土著种、建群种和特有种，天然的重要经济物种，如涉及国家级和省级保护物种、珍稀濒危物种和地方特有种时，应逐个或逐类说明其类型、分布、保护级别、保护状况等。如调查中发现名木古树，应记录其分布坐标，说明其生长情况。</w:t>
      </w:r>
    </w:p>
    <w:p>
      <w:pPr>
        <w:spacing w:line="360" w:lineRule="auto"/>
        <w:ind w:firstLine="420" w:firstLineChars="175"/>
        <w:jc w:val="both"/>
        <w:rPr>
          <w:color w:val="auto"/>
          <w:sz w:val="24"/>
          <w:highlight w:val="none"/>
        </w:rPr>
      </w:pPr>
      <w:r>
        <w:rPr>
          <w:color w:val="auto"/>
          <w:sz w:val="24"/>
          <w:highlight w:val="none"/>
        </w:rPr>
        <w:t>另外，调查中应做好调查记录，保存好调查表和图像资料。</w:t>
      </w:r>
      <w:bookmarkEnd w:id="0"/>
    </w:p>
    <w:p>
      <w:pPr>
        <w:spacing w:line="360" w:lineRule="auto"/>
        <w:ind w:firstLine="420" w:firstLineChars="175"/>
        <w:jc w:val="both"/>
        <w:rPr>
          <w:rFonts w:hint="eastAsia"/>
          <w:color w:val="auto"/>
          <w:sz w:val="24"/>
          <w:highlight w:val="none"/>
        </w:rPr>
      </w:pPr>
      <w:r>
        <w:rPr>
          <w:color w:val="auto"/>
          <w:sz w:val="24"/>
          <w:highlight w:val="none"/>
        </w:rPr>
        <w:t>根据调查结果，绘制土地利用现状图、植被类型图、植被覆盖度空间分布图、生态系统类型图、生态保护目标空间分布图、等，满足生态导则</w:t>
      </w:r>
      <w:r>
        <w:rPr>
          <w:rFonts w:hint="eastAsia"/>
          <w:color w:val="auto"/>
          <w:sz w:val="24"/>
          <w:highlight w:val="none"/>
        </w:rPr>
        <w:t>二</w:t>
      </w:r>
      <w:r>
        <w:rPr>
          <w:color w:val="auto"/>
          <w:sz w:val="24"/>
          <w:highlight w:val="none"/>
        </w:rPr>
        <w:t>级评价附录</w:t>
      </w:r>
      <w:r>
        <w:rPr>
          <w:rFonts w:hint="eastAsia"/>
          <w:color w:val="auto"/>
          <w:sz w:val="24"/>
          <w:highlight w:val="none"/>
        </w:rPr>
        <w:t>D制图与成图精确</w:t>
      </w:r>
      <w:r>
        <w:rPr>
          <w:color w:val="auto"/>
          <w:sz w:val="24"/>
          <w:highlight w:val="none"/>
        </w:rPr>
        <w:t>要求。</w:t>
      </w:r>
    </w:p>
    <w:p>
      <w:pPr>
        <w:adjustRightInd w:val="0"/>
        <w:snapToGrid w:val="0"/>
        <w:spacing w:line="360" w:lineRule="auto"/>
        <w:ind w:firstLine="480"/>
        <w:jc w:val="both"/>
        <w:rPr>
          <w:rFonts w:hint="eastAsia"/>
          <w:color w:val="auto"/>
          <w:sz w:val="24"/>
          <w:highlight w:val="none"/>
        </w:rPr>
      </w:pPr>
      <w:r>
        <w:rPr>
          <w:rFonts w:hint="eastAsia"/>
          <w:color w:val="auto"/>
          <w:sz w:val="24"/>
          <w:highlight w:val="none"/>
        </w:rPr>
        <w:t>4.</w:t>
      </w:r>
      <w:r>
        <w:rPr>
          <w:color w:val="auto"/>
          <w:sz w:val="24"/>
          <w:highlight w:val="none"/>
        </w:rPr>
        <w:t>调查时间</w:t>
      </w:r>
    </w:p>
    <w:p>
      <w:pPr>
        <w:adjustRightInd w:val="0"/>
        <w:snapToGrid w:val="0"/>
        <w:spacing w:line="360" w:lineRule="auto"/>
        <w:ind w:firstLine="480"/>
        <w:jc w:val="both"/>
        <w:rPr>
          <w:rFonts w:hint="eastAsia"/>
          <w:color w:val="auto"/>
          <w:sz w:val="24"/>
          <w:highlight w:val="none"/>
        </w:rPr>
      </w:pPr>
      <w:r>
        <w:rPr>
          <w:color w:val="auto"/>
          <w:sz w:val="24"/>
          <w:highlight w:val="none"/>
        </w:rPr>
        <w:t>202</w:t>
      </w:r>
      <w:r>
        <w:rPr>
          <w:rFonts w:hint="eastAsia"/>
          <w:color w:val="auto"/>
          <w:sz w:val="24"/>
          <w:highlight w:val="none"/>
        </w:rPr>
        <w:t>4</w:t>
      </w:r>
      <w:r>
        <w:rPr>
          <w:color w:val="auto"/>
          <w:sz w:val="24"/>
          <w:highlight w:val="none"/>
        </w:rPr>
        <w:t>年</w:t>
      </w:r>
      <w:r>
        <w:rPr>
          <w:rFonts w:hint="eastAsia"/>
          <w:color w:val="auto"/>
          <w:sz w:val="24"/>
          <w:highlight w:val="none"/>
          <w:lang w:val="en-US" w:eastAsia="zh-CN"/>
        </w:rPr>
        <w:t>5</w:t>
      </w:r>
      <w:r>
        <w:rPr>
          <w:rFonts w:hint="eastAsia"/>
          <w:color w:val="auto"/>
          <w:sz w:val="24"/>
          <w:highlight w:val="none"/>
        </w:rPr>
        <w:t>月</w:t>
      </w:r>
      <w:r>
        <w:rPr>
          <w:color w:val="auto"/>
          <w:sz w:val="24"/>
          <w:highlight w:val="none"/>
        </w:rPr>
        <w:t>。</w:t>
      </w:r>
    </w:p>
    <w:p>
      <w:pPr>
        <w:adjustRightInd w:val="0"/>
        <w:snapToGrid w:val="0"/>
        <w:spacing w:line="360" w:lineRule="auto"/>
        <w:ind w:firstLine="480"/>
        <w:jc w:val="both"/>
        <w:rPr>
          <w:color w:val="auto"/>
          <w:sz w:val="24"/>
          <w:highlight w:val="none"/>
        </w:rPr>
      </w:pPr>
      <w:r>
        <w:rPr>
          <w:rFonts w:hint="eastAsia"/>
          <w:color w:val="auto"/>
          <w:sz w:val="24"/>
          <w:highlight w:val="none"/>
        </w:rPr>
        <w:t>5.</w:t>
      </w:r>
      <w:r>
        <w:rPr>
          <w:color w:val="auto"/>
          <w:sz w:val="24"/>
          <w:highlight w:val="none"/>
        </w:rPr>
        <w:t>监测点位</w:t>
      </w:r>
    </w:p>
    <w:p>
      <w:pPr>
        <w:pStyle w:val="5"/>
        <w:spacing w:before="0" w:beforeAutospacing="0" w:after="0" w:afterAutospacing="0" w:line="240" w:lineRule="auto"/>
        <w:ind w:firstLine="482"/>
        <w:jc w:val="center"/>
        <w:rPr>
          <w:rFonts w:ascii="Times New Roman" w:hAnsi="Times New Roman"/>
          <w:b/>
          <w:color w:val="auto"/>
          <w:highlight w:val="none"/>
        </w:rPr>
      </w:pPr>
      <w:r>
        <w:rPr>
          <w:rFonts w:hint="eastAsia" w:ascii="Times New Roman" w:hAnsi="Times New Roman"/>
          <w:b/>
          <w:color w:val="auto"/>
          <w:highlight w:val="none"/>
        </w:rPr>
        <w:t>表</w:t>
      </w:r>
      <w:r>
        <w:rPr>
          <w:rFonts w:hint="eastAsia" w:ascii="Times New Roman" w:hAnsi="Times New Roman"/>
          <w:b/>
          <w:color w:val="auto"/>
          <w:highlight w:val="none"/>
          <w:lang w:val="en-US" w:eastAsia="zh-CN"/>
        </w:rPr>
        <w:t>3</w:t>
      </w:r>
      <w:r>
        <w:rPr>
          <w:rFonts w:hint="eastAsia" w:ascii="Times New Roman" w:hAnsi="Times New Roman"/>
          <w:b/>
          <w:color w:val="auto"/>
          <w:highlight w:val="none"/>
        </w:rPr>
        <w:t xml:space="preserve">  陆生植物调查内容</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442"/>
        <w:gridCol w:w="1233"/>
        <w:gridCol w:w="1274"/>
        <w:gridCol w:w="106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5" w:type="pct"/>
            <w:noWrap w:val="0"/>
            <w:vAlign w:val="center"/>
          </w:tcPr>
          <w:p>
            <w:pPr>
              <w:widowControl/>
              <w:jc w:val="center"/>
              <w:rPr>
                <w:rFonts w:hint="eastAsia"/>
                <w:color w:val="auto"/>
                <w:kern w:val="0"/>
                <w:szCs w:val="21"/>
                <w:highlight w:val="none"/>
              </w:rPr>
            </w:pPr>
            <w:r>
              <w:rPr>
                <w:rFonts w:hint="eastAsia"/>
                <w:color w:val="auto"/>
                <w:kern w:val="0"/>
                <w:szCs w:val="21"/>
                <w:highlight w:val="none"/>
              </w:rPr>
              <w:t>序号</w:t>
            </w:r>
          </w:p>
        </w:tc>
        <w:tc>
          <w:tcPr>
            <w:tcW w:w="1432" w:type="pct"/>
            <w:noWrap w:val="0"/>
            <w:vAlign w:val="center"/>
          </w:tcPr>
          <w:p>
            <w:pPr>
              <w:widowControl/>
              <w:jc w:val="center"/>
              <w:rPr>
                <w:rFonts w:hint="eastAsia"/>
                <w:color w:val="auto"/>
                <w:kern w:val="0"/>
                <w:szCs w:val="21"/>
                <w:highlight w:val="none"/>
              </w:rPr>
            </w:pPr>
            <w:r>
              <w:rPr>
                <w:rFonts w:hint="eastAsia"/>
                <w:color w:val="auto"/>
                <w:kern w:val="0"/>
                <w:szCs w:val="21"/>
                <w:highlight w:val="none"/>
              </w:rPr>
              <w:t>位置</w:t>
            </w:r>
          </w:p>
        </w:tc>
        <w:tc>
          <w:tcPr>
            <w:tcW w:w="723" w:type="pct"/>
            <w:noWrap w:val="0"/>
            <w:vAlign w:val="center"/>
          </w:tcPr>
          <w:p>
            <w:pPr>
              <w:widowControl/>
              <w:jc w:val="center"/>
              <w:rPr>
                <w:color w:val="auto"/>
                <w:kern w:val="0"/>
                <w:szCs w:val="21"/>
                <w:highlight w:val="none"/>
              </w:rPr>
            </w:pPr>
            <w:r>
              <w:rPr>
                <w:rFonts w:hint="eastAsia"/>
                <w:color w:val="auto"/>
                <w:kern w:val="0"/>
                <w:szCs w:val="21"/>
                <w:highlight w:val="none"/>
              </w:rPr>
              <w:t>群落</w:t>
            </w:r>
          </w:p>
        </w:tc>
        <w:tc>
          <w:tcPr>
            <w:tcW w:w="747" w:type="pct"/>
            <w:noWrap w:val="0"/>
            <w:vAlign w:val="center"/>
          </w:tcPr>
          <w:p>
            <w:pPr>
              <w:widowControl/>
              <w:jc w:val="center"/>
              <w:rPr>
                <w:color w:val="auto"/>
                <w:kern w:val="0"/>
                <w:szCs w:val="21"/>
                <w:highlight w:val="none"/>
              </w:rPr>
            </w:pPr>
            <w:r>
              <w:rPr>
                <w:rFonts w:hint="eastAsia"/>
                <w:color w:val="auto"/>
                <w:kern w:val="0"/>
                <w:szCs w:val="21"/>
                <w:highlight w:val="none"/>
              </w:rPr>
              <w:t>样方面积</w:t>
            </w:r>
          </w:p>
        </w:tc>
        <w:tc>
          <w:tcPr>
            <w:tcW w:w="627" w:type="pct"/>
            <w:noWrap w:val="0"/>
            <w:vAlign w:val="center"/>
          </w:tcPr>
          <w:p>
            <w:pPr>
              <w:widowControl/>
              <w:jc w:val="center"/>
              <w:rPr>
                <w:color w:val="auto"/>
                <w:kern w:val="0"/>
                <w:szCs w:val="21"/>
                <w:highlight w:val="none"/>
              </w:rPr>
            </w:pPr>
            <w:r>
              <w:rPr>
                <w:rFonts w:hint="eastAsia"/>
                <w:color w:val="auto"/>
                <w:kern w:val="0"/>
                <w:szCs w:val="21"/>
                <w:highlight w:val="none"/>
              </w:rPr>
              <w:t>样方个数</w:t>
            </w:r>
          </w:p>
        </w:tc>
        <w:tc>
          <w:tcPr>
            <w:tcW w:w="984" w:type="pct"/>
            <w:noWrap w:val="0"/>
            <w:vAlign w:val="center"/>
          </w:tcPr>
          <w:p>
            <w:pPr>
              <w:widowControl/>
              <w:jc w:val="center"/>
              <w:rPr>
                <w:color w:val="auto"/>
                <w:kern w:val="0"/>
                <w:szCs w:val="21"/>
                <w:highlight w:val="none"/>
              </w:rPr>
            </w:pPr>
            <w:r>
              <w:rPr>
                <w:color w:val="auto"/>
                <w:kern w:val="0"/>
                <w:szCs w:val="21"/>
                <w:highlight w:val="none"/>
              </w:rPr>
              <w:t>样线数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5" w:type="pct"/>
            <w:noWrap w:val="0"/>
            <w:vAlign w:val="center"/>
          </w:tcPr>
          <w:p>
            <w:pPr>
              <w:widowControl/>
              <w:jc w:val="center"/>
              <w:rPr>
                <w:rFonts w:hint="eastAsia"/>
                <w:color w:val="auto"/>
                <w:kern w:val="0"/>
                <w:szCs w:val="21"/>
                <w:highlight w:val="none"/>
              </w:rPr>
            </w:pPr>
            <w:r>
              <w:rPr>
                <w:rFonts w:hint="eastAsia"/>
                <w:color w:val="auto"/>
                <w:kern w:val="0"/>
                <w:szCs w:val="21"/>
                <w:highlight w:val="none"/>
              </w:rPr>
              <w:t>TE1</w:t>
            </w:r>
          </w:p>
        </w:tc>
        <w:tc>
          <w:tcPr>
            <w:tcW w:w="1432" w:type="pct"/>
            <w:noWrap w:val="0"/>
            <w:vAlign w:val="center"/>
          </w:tcPr>
          <w:p>
            <w:pPr>
              <w:jc w:val="center"/>
              <w:rPr>
                <w:rFonts w:hint="eastAsia"/>
                <w:color w:val="auto"/>
                <w:kern w:val="0"/>
                <w:szCs w:val="21"/>
                <w:highlight w:val="none"/>
              </w:rPr>
            </w:pPr>
            <w:r>
              <w:rPr>
                <w:rFonts w:hint="eastAsia"/>
                <w:color w:val="auto"/>
                <w:highlight w:val="none"/>
                <w:lang w:val="en-US" w:eastAsia="zh-CN"/>
              </w:rPr>
              <w:t>淠东干渠生产区</w:t>
            </w:r>
          </w:p>
        </w:tc>
        <w:tc>
          <w:tcPr>
            <w:tcW w:w="723" w:type="pct"/>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草</w:t>
            </w:r>
            <w:r>
              <w:rPr>
                <w:rFonts w:hint="eastAsia"/>
                <w:color w:val="auto"/>
                <w:kern w:val="0"/>
                <w:szCs w:val="21"/>
                <w:highlight w:val="none"/>
              </w:rPr>
              <w:t>地</w:t>
            </w:r>
          </w:p>
        </w:tc>
        <w:tc>
          <w:tcPr>
            <w:tcW w:w="747" w:type="pct"/>
            <w:noWrap w:val="0"/>
            <w:vAlign w:val="center"/>
          </w:tcPr>
          <w:p>
            <w:pPr>
              <w:widowControl/>
              <w:jc w:val="center"/>
              <w:rPr>
                <w:color w:val="auto"/>
                <w:kern w:val="0"/>
                <w:szCs w:val="21"/>
                <w:highlight w:val="none"/>
              </w:rPr>
            </w:pPr>
            <w:r>
              <w:rPr>
                <w:rFonts w:hint="eastAsia"/>
                <w:color w:val="auto"/>
                <w:kern w:val="0"/>
                <w:szCs w:val="21"/>
                <w:highlight w:val="none"/>
              </w:rPr>
              <w:t>1m*1m</w:t>
            </w:r>
          </w:p>
        </w:tc>
        <w:tc>
          <w:tcPr>
            <w:tcW w:w="627" w:type="pct"/>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3</w:t>
            </w:r>
            <w:r>
              <w:rPr>
                <w:rFonts w:hint="eastAsia"/>
                <w:color w:val="auto"/>
                <w:kern w:val="0"/>
                <w:szCs w:val="21"/>
                <w:highlight w:val="none"/>
              </w:rPr>
              <w:t>个</w:t>
            </w:r>
          </w:p>
        </w:tc>
        <w:tc>
          <w:tcPr>
            <w:tcW w:w="984" w:type="pct"/>
            <w:vMerge w:val="restart"/>
            <w:noWrap w:val="0"/>
            <w:vAlign w:val="center"/>
          </w:tcPr>
          <w:p>
            <w:pPr>
              <w:widowControl/>
              <w:jc w:val="center"/>
              <w:rPr>
                <w:color w:val="auto"/>
                <w:kern w:val="0"/>
                <w:szCs w:val="21"/>
                <w:highlight w:val="none"/>
              </w:rPr>
            </w:pPr>
            <w:r>
              <w:rPr>
                <w:rFonts w:hint="eastAsia"/>
                <w:color w:val="auto"/>
                <w:kern w:val="0"/>
                <w:szCs w:val="21"/>
                <w:highlight w:val="none"/>
              </w:rPr>
              <w:t>1</w:t>
            </w:r>
            <w:r>
              <w:rPr>
                <w:rFonts w:hint="eastAsia"/>
                <w:color w:val="auto"/>
                <w:kern w:val="0"/>
                <w:szCs w:val="21"/>
                <w:highlight w:val="none"/>
                <w:lang w:val="en-US" w:eastAsia="zh-CN"/>
              </w:rPr>
              <w:t>2</w:t>
            </w:r>
            <w:r>
              <w:rPr>
                <w:rFonts w:hint="eastAsia"/>
                <w:color w:val="auto"/>
                <w:kern w:val="0"/>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5" w:type="pct"/>
            <w:noWrap w:val="0"/>
            <w:vAlign w:val="center"/>
          </w:tcPr>
          <w:p>
            <w:pPr>
              <w:widowControl/>
              <w:jc w:val="center"/>
              <w:rPr>
                <w:color w:val="auto"/>
                <w:kern w:val="0"/>
                <w:szCs w:val="21"/>
                <w:highlight w:val="none"/>
              </w:rPr>
            </w:pPr>
            <w:r>
              <w:rPr>
                <w:rFonts w:hint="eastAsia"/>
                <w:color w:val="auto"/>
                <w:kern w:val="0"/>
                <w:szCs w:val="21"/>
                <w:highlight w:val="none"/>
              </w:rPr>
              <w:t>TE2</w:t>
            </w:r>
          </w:p>
        </w:tc>
        <w:tc>
          <w:tcPr>
            <w:tcW w:w="1432" w:type="pct"/>
            <w:noWrap w:val="0"/>
            <w:vAlign w:val="center"/>
          </w:tcPr>
          <w:p>
            <w:pPr>
              <w:jc w:val="center"/>
              <w:rPr>
                <w:color w:val="auto"/>
                <w:kern w:val="0"/>
                <w:szCs w:val="21"/>
                <w:highlight w:val="none"/>
              </w:rPr>
            </w:pPr>
            <w:r>
              <w:rPr>
                <w:rFonts w:hint="eastAsia"/>
                <w:color w:val="auto"/>
                <w:highlight w:val="none"/>
                <w:lang w:val="en-US" w:eastAsia="zh-CN"/>
              </w:rPr>
              <w:t>瓦西干渠取土区</w:t>
            </w:r>
          </w:p>
        </w:tc>
        <w:tc>
          <w:tcPr>
            <w:tcW w:w="723" w:type="pct"/>
            <w:noWrap w:val="0"/>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农业植被</w:t>
            </w:r>
          </w:p>
        </w:tc>
        <w:tc>
          <w:tcPr>
            <w:tcW w:w="747" w:type="pct"/>
            <w:noWrap w:val="0"/>
            <w:vAlign w:val="center"/>
          </w:tcPr>
          <w:p>
            <w:pPr>
              <w:widowControl/>
              <w:jc w:val="center"/>
              <w:rPr>
                <w:color w:val="auto"/>
                <w:kern w:val="0"/>
                <w:szCs w:val="21"/>
                <w:highlight w:val="none"/>
              </w:rPr>
            </w:pPr>
            <w:r>
              <w:rPr>
                <w:rFonts w:hint="eastAsia"/>
                <w:color w:val="auto"/>
                <w:kern w:val="0"/>
                <w:szCs w:val="21"/>
                <w:highlight w:val="none"/>
              </w:rPr>
              <w:t>1m*1m</w:t>
            </w:r>
          </w:p>
        </w:tc>
        <w:tc>
          <w:tcPr>
            <w:tcW w:w="627" w:type="pct"/>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3</w:t>
            </w:r>
            <w:r>
              <w:rPr>
                <w:rFonts w:hint="eastAsia"/>
                <w:color w:val="auto"/>
                <w:kern w:val="0"/>
                <w:szCs w:val="21"/>
                <w:highlight w:val="none"/>
              </w:rPr>
              <w:t>个</w:t>
            </w:r>
          </w:p>
        </w:tc>
        <w:tc>
          <w:tcPr>
            <w:tcW w:w="984" w:type="pct"/>
            <w:vMerge w:val="continue"/>
            <w:noWrap w:val="0"/>
            <w:vAlign w:val="center"/>
          </w:tcPr>
          <w:p>
            <w:pPr>
              <w:pStyle w:val="3"/>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5" w:type="pct"/>
            <w:noWrap w:val="0"/>
            <w:vAlign w:val="center"/>
          </w:tcPr>
          <w:p>
            <w:pPr>
              <w:widowControl/>
              <w:jc w:val="center"/>
              <w:rPr>
                <w:color w:val="auto"/>
                <w:kern w:val="0"/>
                <w:szCs w:val="21"/>
                <w:highlight w:val="none"/>
              </w:rPr>
            </w:pPr>
            <w:r>
              <w:rPr>
                <w:rFonts w:hint="eastAsia"/>
                <w:color w:val="auto"/>
                <w:kern w:val="0"/>
                <w:szCs w:val="21"/>
                <w:highlight w:val="none"/>
              </w:rPr>
              <w:t>TE3</w:t>
            </w:r>
          </w:p>
        </w:tc>
        <w:tc>
          <w:tcPr>
            <w:tcW w:w="1432" w:type="pct"/>
            <w:noWrap w:val="0"/>
            <w:vAlign w:val="center"/>
          </w:tcPr>
          <w:p>
            <w:pPr>
              <w:jc w:val="center"/>
              <w:rPr>
                <w:rFonts w:hint="eastAsia"/>
                <w:color w:val="auto"/>
                <w:kern w:val="0"/>
                <w:szCs w:val="21"/>
                <w:highlight w:val="none"/>
              </w:rPr>
            </w:pPr>
            <w:r>
              <w:rPr>
                <w:rFonts w:hint="eastAsia"/>
                <w:color w:val="auto"/>
                <w:highlight w:val="none"/>
                <w:lang w:val="en-US" w:eastAsia="zh-CN"/>
              </w:rPr>
              <w:t>淠杭干渠弃土区</w:t>
            </w:r>
          </w:p>
        </w:tc>
        <w:tc>
          <w:tcPr>
            <w:tcW w:w="723" w:type="pct"/>
            <w:noWrap w:val="0"/>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森林</w:t>
            </w:r>
          </w:p>
        </w:tc>
        <w:tc>
          <w:tcPr>
            <w:tcW w:w="747" w:type="pct"/>
            <w:noWrap w:val="0"/>
            <w:vAlign w:val="center"/>
          </w:tcPr>
          <w:p>
            <w:pPr>
              <w:widowControl/>
              <w:jc w:val="center"/>
              <w:rPr>
                <w:color w:val="auto"/>
                <w:kern w:val="0"/>
                <w:szCs w:val="21"/>
                <w:highlight w:val="none"/>
              </w:rPr>
            </w:pPr>
            <w:r>
              <w:rPr>
                <w:rFonts w:hint="eastAsia"/>
                <w:color w:val="auto"/>
                <w:kern w:val="0"/>
                <w:szCs w:val="21"/>
                <w:highlight w:val="none"/>
              </w:rPr>
              <w:t>1</w:t>
            </w:r>
            <w:r>
              <w:rPr>
                <w:rFonts w:hint="eastAsia"/>
                <w:color w:val="auto"/>
                <w:kern w:val="0"/>
                <w:szCs w:val="21"/>
                <w:highlight w:val="none"/>
                <w:lang w:val="en-US" w:eastAsia="zh-CN"/>
              </w:rPr>
              <w:t>0</w:t>
            </w:r>
            <w:r>
              <w:rPr>
                <w:rFonts w:hint="eastAsia"/>
                <w:color w:val="auto"/>
                <w:kern w:val="0"/>
                <w:szCs w:val="21"/>
                <w:highlight w:val="none"/>
              </w:rPr>
              <w:t>m*1</w:t>
            </w:r>
            <w:r>
              <w:rPr>
                <w:rFonts w:hint="eastAsia"/>
                <w:color w:val="auto"/>
                <w:kern w:val="0"/>
                <w:szCs w:val="21"/>
                <w:highlight w:val="none"/>
                <w:lang w:val="en-US" w:eastAsia="zh-CN"/>
              </w:rPr>
              <w:t>0</w:t>
            </w:r>
            <w:r>
              <w:rPr>
                <w:rFonts w:hint="eastAsia"/>
                <w:color w:val="auto"/>
                <w:kern w:val="0"/>
                <w:szCs w:val="21"/>
                <w:highlight w:val="none"/>
              </w:rPr>
              <w:t>m</w:t>
            </w:r>
          </w:p>
        </w:tc>
        <w:tc>
          <w:tcPr>
            <w:tcW w:w="627" w:type="pct"/>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3</w:t>
            </w:r>
            <w:r>
              <w:rPr>
                <w:rFonts w:hint="eastAsia"/>
                <w:color w:val="auto"/>
                <w:kern w:val="0"/>
                <w:szCs w:val="21"/>
                <w:highlight w:val="none"/>
              </w:rPr>
              <w:t>个</w:t>
            </w:r>
          </w:p>
        </w:tc>
        <w:tc>
          <w:tcPr>
            <w:tcW w:w="984" w:type="pct"/>
            <w:vMerge w:val="continue"/>
            <w:noWrap w:val="0"/>
            <w:vAlign w:val="center"/>
          </w:tcPr>
          <w:p>
            <w:pPr>
              <w:pStyle w:val="3"/>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5" w:type="pct"/>
            <w:noWrap w:val="0"/>
            <w:vAlign w:val="center"/>
          </w:tcPr>
          <w:p>
            <w:pPr>
              <w:widowControl/>
              <w:jc w:val="center"/>
              <w:rPr>
                <w:color w:val="auto"/>
                <w:kern w:val="0"/>
                <w:szCs w:val="21"/>
                <w:highlight w:val="none"/>
              </w:rPr>
            </w:pPr>
            <w:r>
              <w:rPr>
                <w:rFonts w:hint="eastAsia"/>
                <w:color w:val="auto"/>
                <w:kern w:val="0"/>
                <w:szCs w:val="21"/>
                <w:highlight w:val="none"/>
              </w:rPr>
              <w:t>TE4</w:t>
            </w:r>
          </w:p>
        </w:tc>
        <w:tc>
          <w:tcPr>
            <w:tcW w:w="1432" w:type="pct"/>
            <w:noWrap w:val="0"/>
            <w:vAlign w:val="center"/>
          </w:tcPr>
          <w:p>
            <w:pPr>
              <w:jc w:val="center"/>
              <w:rPr>
                <w:rFonts w:hint="eastAsia"/>
                <w:color w:val="auto"/>
                <w:kern w:val="0"/>
                <w:szCs w:val="21"/>
                <w:highlight w:val="none"/>
              </w:rPr>
            </w:pPr>
            <w:r>
              <w:rPr>
                <w:rFonts w:hint="eastAsia"/>
                <w:color w:val="auto"/>
                <w:highlight w:val="none"/>
                <w:lang w:val="en-US" w:eastAsia="zh-CN"/>
              </w:rPr>
              <w:t>木北分干渠临时堆土区</w:t>
            </w:r>
          </w:p>
        </w:tc>
        <w:tc>
          <w:tcPr>
            <w:tcW w:w="723" w:type="pct"/>
            <w:noWrap w:val="0"/>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灌丛</w:t>
            </w:r>
          </w:p>
        </w:tc>
        <w:tc>
          <w:tcPr>
            <w:tcW w:w="747" w:type="pct"/>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5</w:t>
            </w:r>
            <w:r>
              <w:rPr>
                <w:rFonts w:hint="eastAsia"/>
                <w:color w:val="auto"/>
                <w:kern w:val="0"/>
                <w:szCs w:val="21"/>
                <w:highlight w:val="none"/>
              </w:rPr>
              <w:t>m*</w:t>
            </w:r>
            <w:r>
              <w:rPr>
                <w:rFonts w:hint="eastAsia"/>
                <w:color w:val="auto"/>
                <w:kern w:val="0"/>
                <w:szCs w:val="21"/>
                <w:highlight w:val="none"/>
                <w:lang w:val="en-US" w:eastAsia="zh-CN"/>
              </w:rPr>
              <w:t>5</w:t>
            </w:r>
            <w:r>
              <w:rPr>
                <w:rFonts w:hint="eastAsia"/>
                <w:color w:val="auto"/>
                <w:kern w:val="0"/>
                <w:szCs w:val="21"/>
                <w:highlight w:val="none"/>
              </w:rPr>
              <w:t>m</w:t>
            </w:r>
          </w:p>
        </w:tc>
        <w:tc>
          <w:tcPr>
            <w:tcW w:w="627" w:type="pct"/>
            <w:noWrap w:val="0"/>
            <w:vAlign w:val="center"/>
          </w:tcPr>
          <w:p>
            <w:pPr>
              <w:widowControl/>
              <w:jc w:val="center"/>
              <w:rPr>
                <w:color w:val="auto"/>
                <w:kern w:val="0"/>
                <w:szCs w:val="21"/>
                <w:highlight w:val="none"/>
              </w:rPr>
            </w:pPr>
            <w:r>
              <w:rPr>
                <w:rFonts w:hint="eastAsia"/>
                <w:color w:val="auto"/>
                <w:kern w:val="0"/>
                <w:szCs w:val="21"/>
                <w:highlight w:val="none"/>
                <w:lang w:val="en-US" w:eastAsia="zh-CN"/>
              </w:rPr>
              <w:t>3</w:t>
            </w:r>
            <w:r>
              <w:rPr>
                <w:rFonts w:hint="eastAsia"/>
                <w:color w:val="auto"/>
                <w:kern w:val="0"/>
                <w:szCs w:val="21"/>
                <w:highlight w:val="none"/>
              </w:rPr>
              <w:t>个</w:t>
            </w:r>
          </w:p>
        </w:tc>
        <w:tc>
          <w:tcPr>
            <w:tcW w:w="984" w:type="pct"/>
            <w:vMerge w:val="continue"/>
            <w:noWrap w:val="0"/>
            <w:vAlign w:val="center"/>
          </w:tcPr>
          <w:p>
            <w:pPr>
              <w:pStyle w:val="3"/>
              <w:jc w:val="center"/>
              <w:rPr>
                <w:color w:val="auto"/>
                <w:highlight w:val="none"/>
              </w:rPr>
            </w:pPr>
          </w:p>
        </w:tc>
      </w:tr>
    </w:tbl>
    <w:p>
      <w:pPr>
        <w:spacing w:line="360" w:lineRule="auto"/>
        <w:ind w:firstLine="420" w:firstLineChars="175"/>
        <w:jc w:val="both"/>
        <w:rPr>
          <w:rFonts w:hint="eastAsia"/>
          <w:color w:val="auto"/>
          <w:sz w:val="24"/>
          <w:highlight w:val="none"/>
        </w:rPr>
      </w:pPr>
      <w:r>
        <w:rPr>
          <w:rFonts w:hint="eastAsia"/>
          <w:color w:val="auto"/>
          <w:sz w:val="24"/>
          <w:highlight w:val="none"/>
        </w:rPr>
        <w:t>评价范围内陆生植物群落主要包括</w:t>
      </w:r>
      <w:r>
        <w:rPr>
          <w:rFonts w:hint="eastAsia"/>
          <w:color w:val="auto"/>
          <w:sz w:val="24"/>
          <w:highlight w:val="none"/>
          <w:lang w:val="en-US" w:eastAsia="zh-CN"/>
        </w:rPr>
        <w:t>森林、灌丛、草地</w:t>
      </w:r>
      <w:r>
        <w:rPr>
          <w:rFonts w:hint="eastAsia"/>
          <w:color w:val="auto"/>
          <w:sz w:val="24"/>
          <w:highlight w:val="none"/>
        </w:rPr>
        <w:t>、</w:t>
      </w:r>
      <w:r>
        <w:rPr>
          <w:rFonts w:hint="eastAsia"/>
          <w:color w:val="auto"/>
          <w:sz w:val="24"/>
          <w:highlight w:val="none"/>
          <w:lang w:val="en-US" w:eastAsia="zh-CN"/>
        </w:rPr>
        <w:t>农业植被</w:t>
      </w:r>
      <w:r>
        <w:rPr>
          <w:rFonts w:hint="eastAsia"/>
          <w:color w:val="auto"/>
          <w:sz w:val="24"/>
          <w:highlight w:val="none"/>
        </w:rPr>
        <w:t>等，本次调查在每个群落各设1个样地，共计</w:t>
      </w:r>
      <w:r>
        <w:rPr>
          <w:rFonts w:hint="eastAsia"/>
          <w:color w:val="auto"/>
          <w:sz w:val="24"/>
          <w:highlight w:val="none"/>
          <w:lang w:val="en-US" w:eastAsia="zh-CN"/>
        </w:rPr>
        <w:t>4</w:t>
      </w:r>
      <w:r>
        <w:rPr>
          <w:rFonts w:hint="eastAsia"/>
          <w:color w:val="auto"/>
          <w:sz w:val="24"/>
          <w:highlight w:val="none"/>
        </w:rPr>
        <w:t>个植物调查样地</w:t>
      </w:r>
      <w:r>
        <w:rPr>
          <w:rFonts w:hint="eastAsia"/>
          <w:color w:val="auto"/>
          <w:sz w:val="24"/>
          <w:highlight w:val="none"/>
          <w:lang w:eastAsia="zh-CN"/>
        </w:rPr>
        <w:t>，</w:t>
      </w:r>
      <w:r>
        <w:rPr>
          <w:rFonts w:hint="eastAsia"/>
          <w:color w:val="auto"/>
          <w:sz w:val="24"/>
          <w:highlight w:val="none"/>
          <w:lang w:val="en-US" w:eastAsia="zh-CN"/>
        </w:rPr>
        <w:t>12个样线</w:t>
      </w:r>
      <w:r>
        <w:rPr>
          <w:rFonts w:hint="eastAsia"/>
          <w:color w:val="auto"/>
          <w:sz w:val="24"/>
          <w:highlight w:val="none"/>
        </w:rPr>
        <w:t>。</w:t>
      </w:r>
    </w:p>
    <w:p>
      <w:pPr>
        <w:spacing w:line="360" w:lineRule="auto"/>
        <w:ind w:firstLine="420" w:firstLineChars="175"/>
        <w:jc w:val="both"/>
        <w:rPr>
          <w:color w:val="auto"/>
          <w:sz w:val="24"/>
          <w:highlight w:val="none"/>
        </w:rPr>
      </w:pPr>
      <w:r>
        <w:rPr>
          <w:rFonts w:hint="eastAsia"/>
          <w:color w:val="auto"/>
          <w:sz w:val="24"/>
          <w:highlight w:val="none"/>
        </w:rPr>
        <w:t>陆生野生动物主要生境是护堤林地、滩地、河流水域、耕地，可归纳为湿地生境和农田生境，因此每种生境各设置</w:t>
      </w:r>
      <w:r>
        <w:rPr>
          <w:rFonts w:hint="eastAsia"/>
          <w:color w:val="auto"/>
          <w:sz w:val="24"/>
          <w:highlight w:val="none"/>
          <w:lang w:val="en-US" w:eastAsia="zh-CN"/>
        </w:rPr>
        <w:t>3</w:t>
      </w:r>
      <w:r>
        <w:rPr>
          <w:rFonts w:hint="eastAsia"/>
          <w:color w:val="auto"/>
          <w:sz w:val="24"/>
          <w:highlight w:val="none"/>
        </w:rPr>
        <w:t>条样线</w:t>
      </w:r>
      <w:r>
        <w:rPr>
          <w:rFonts w:hint="eastAsia"/>
          <w:color w:val="auto"/>
          <w:sz w:val="24"/>
          <w:highlight w:val="none"/>
          <w:lang w:eastAsia="zh-CN"/>
        </w:rPr>
        <w:t>，</w:t>
      </w:r>
      <w:r>
        <w:rPr>
          <w:rFonts w:hint="eastAsia"/>
          <w:color w:val="auto"/>
          <w:sz w:val="24"/>
          <w:highlight w:val="none"/>
          <w:lang w:val="en-US" w:eastAsia="zh-CN"/>
        </w:rPr>
        <w:t>共6条样线</w:t>
      </w:r>
      <w:r>
        <w:rPr>
          <w:rFonts w:hint="eastAsia"/>
          <w:color w:val="auto"/>
          <w:sz w:val="24"/>
          <w:highlight w:val="none"/>
        </w:rPr>
        <w:t>。</w:t>
      </w:r>
    </w:p>
    <w:p>
      <w:pPr>
        <w:keepNext w:val="0"/>
        <w:keepLines w:val="0"/>
        <w:pageBreakBefore w:val="0"/>
        <w:widowControl w:val="0"/>
        <w:tabs>
          <w:tab w:val="left" w:pos="309"/>
        </w:tabs>
        <w:kinsoku/>
        <w:wordWrap/>
        <w:overflowPunct/>
        <w:topLinePunct w:val="0"/>
        <w:autoSpaceDE/>
        <w:autoSpaceDN/>
        <w:bidi w:val="0"/>
        <w:adjustRightInd/>
        <w:snapToGrid/>
        <w:spacing w:before="157" w:beforeLines="50" w:line="360" w:lineRule="auto"/>
        <w:ind w:firstLine="420" w:firstLineChars="200"/>
        <w:jc w:val="both"/>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OWIyNWE1NDA5YmZiMjAzMWJkNjc4MzMwMTllNmQifQ=="/>
  </w:docVars>
  <w:rsids>
    <w:rsidRoot w:val="65FB60B4"/>
    <w:rsid w:val="2B326855"/>
    <w:rsid w:val="60C870C1"/>
    <w:rsid w:val="64847320"/>
    <w:rsid w:val="65FB6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tabs>
        <w:tab w:val="left" w:pos="0"/>
      </w:tabs>
      <w:adjustRightInd w:val="0"/>
      <w:snapToGrid w:val="0"/>
      <w:spacing w:before="240" w:after="240" w:line="360" w:lineRule="auto"/>
      <w:jc w:val="left"/>
      <w:outlineLvl w:val="1"/>
    </w:pPr>
    <w:rPr>
      <w:rFonts w:ascii="Cambria" w:hAnsi="Cambria"/>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1"/>
    <w:pPr>
      <w:spacing w:after="120"/>
    </w:pPr>
  </w:style>
  <w:style w:type="paragraph" w:customStyle="1" w:styleId="4">
    <w:name w:val="xl27"/>
    <w:basedOn w:val="1"/>
    <w:autoRedefine/>
    <w:qFormat/>
    <w:uiPriority w:val="0"/>
    <w:pPr>
      <w:widowControl/>
      <w:pBdr>
        <w:bottom w:val="single" w:color="auto" w:sz="4" w:space="0"/>
      </w:pBdr>
      <w:spacing w:before="100" w:beforeAutospacing="1" w:after="100" w:afterAutospacing="1"/>
      <w:ind w:firstLine="480"/>
      <w:jc w:val="center"/>
    </w:pPr>
    <w:rPr>
      <w:rFonts w:ascii="宋体" w:hAnsi="宋体" w:eastAsia="仿宋"/>
      <w:kern w:val="0"/>
      <w:sz w:val="28"/>
      <w:szCs w:val="28"/>
    </w:rPr>
  </w:style>
  <w:style w:type="paragraph" w:styleId="5">
    <w:name w:val="Plain Text"/>
    <w:basedOn w:val="1"/>
    <w:autoRedefine/>
    <w:qFormat/>
    <w:uiPriority w:val="0"/>
    <w:pPr>
      <w:widowControl/>
      <w:spacing w:before="100" w:beforeAutospacing="1" w:after="100" w:afterAutospacing="1" w:line="360" w:lineRule="auto"/>
      <w:ind w:firstLine="200" w:firstLineChars="200"/>
      <w:jc w:val="left"/>
    </w:pPr>
    <w:rPr>
      <w:rFonts w:ascii="宋体" w:hAnsi="宋体" w:eastAsia="宋体" w:cs="Times New Roman"/>
      <w:kern w:val="0"/>
      <w:sz w:val="24"/>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autoRedefine/>
    <w:qFormat/>
    <w:uiPriority w:val="0"/>
  </w:style>
  <w:style w:type="paragraph" w:customStyle="1" w:styleId="11">
    <w:name w:val="表格文字"/>
    <w:basedOn w:val="1"/>
    <w:autoRedefine/>
    <w:qFormat/>
    <w:uiPriority w:val="0"/>
    <w:pPr>
      <w:widowControl/>
      <w:spacing w:line="240" w:lineRule="auto"/>
      <w:ind w:firstLine="0" w:firstLineChars="0"/>
      <w:jc w:val="center"/>
    </w:pPr>
    <w:rPr>
      <w:rFonts w:cs="宋体"/>
      <w:color w:val="000000"/>
      <w:kern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2024-04-26T01:41:00Z</dcterms:created>
  <dc:creator>YU</dc:creator>
  <cp:lastModifiedBy>YU</cp:lastModifiedBy>
  <dcterms:modified xsi:type="dcterms:W3CDTF">2024-05-10T03:11:54Z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ACE3008DBD0244D4ABA5542B54D9CCA0_13</vt:lpwstr>
  </property>
</Properties>
</file>