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淮河干流浮山以下段行洪区调整和建设工程是《淮河干流行蓄洪区调整规划》的重要内容，也是进一步治淮38项工程之一，已列入2020年及后续150项重大水利工程，该工程的建设有利于流域洪水通畅下泄，使得浮山以上段行蓄洪区调整工程的效益能够得以更大程度地发挥，也有利于解决区域防洪问题，促进区域经济社会稳定发展。</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工程总体布局为：淮河干流浮山以下段河道长74.2km（浮山~龟山），其中浮山~冯进口长14.5km，冯进口以下长59.7km，溧河洼七里沟~临淮头段河道长43.69km。淮河干流浮山以下段行洪区调整和建设工程通过疏浚淮河干流浮山~冯进口段河道、开辟冯铁营引河和拓浚溧河洼七里沟~临淮头段河道，加固潘村洼堤防等工 程措施，使浮山以下段河道泄洪能力达到13000m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/s，溧河洼达20年一遇防洪和3年一遇除涝标准。</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主要建设内容为：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（1）淮河干流浮山~冯铁营引河进口段河道疏浚，疏浚长度14.50km。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（2）开辟冯铁营引河，长6.65km；冯铁营引河两岸新建堤防，长6.44km；冯铁营引河进口建闸控制，设计流量5450m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（3）溧河洼浅槽开挖自七里沟~临淮头河道，长37.49km。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（4）加高加固潘村洼行洪区浮山至苏拐站段堤防，长52.46km，对马岗咀~女山湖闸段堤防采取水泥搅拌桩处理方式进行加固，长3.12km；新建封闭堤长0.24km。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（5）潘村洼堤防、冯铁营引河两侧堤防、溧西大堤和泊岗圈堤堤顶铺设防汛道路，长105.33km，修建上堤道路37条。</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（6）新建护坡长38.86km、护岸长14.77km。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（7）新建、拆除重建、加固和封堵各类建筑物25座，其中大型分洪闸1座、小型涵闸9座、中小型排灌泵站8座、桥梁7座。</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default" w:ascii="Times New Roman" w:hAnsi="Times New Roman" w:cs="Times New Roman"/>
          <w:spacing w:val="0"/>
          <w:szCs w:val="20"/>
          <w:highlight w:val="none"/>
        </w:rPr>
        <w:t>项目主要涉及安徽省明光市、江苏省淮安市盱眙县、宿迁市泗洪县。涉及基本农田3620.23亩，其中盱眙县2520.94亩、泗洪县960.00亩、明光市139.29亩。涉及生态红线在溧河洼范围，其中盱眙境内</w:t>
      </w:r>
      <w:r>
        <w:rPr>
          <w:rFonts w:hint="eastAsia" w:ascii="Times New Roman" w:hAnsi="Times New Roman" w:cs="Times New Roman"/>
          <w:spacing w:val="0"/>
          <w:szCs w:val="20"/>
          <w:highlight w:val="none"/>
          <w:lang w:val="en-US" w:eastAsia="zh-CN"/>
        </w:rPr>
        <w:t>约</w:t>
      </w:r>
      <w:r>
        <w:rPr>
          <w:rFonts w:hint="default" w:ascii="Times New Roman" w:hAnsi="Times New Roman" w:cs="Times New Roman"/>
          <w:spacing w:val="0"/>
          <w:szCs w:val="20"/>
          <w:highlight w:val="none"/>
        </w:rPr>
        <w:t>5879亩，泗洪境内</w:t>
      </w:r>
      <w:r>
        <w:rPr>
          <w:rFonts w:hint="eastAsia" w:ascii="Times New Roman" w:hAnsi="Times New Roman" w:cs="Times New Roman"/>
          <w:spacing w:val="0"/>
          <w:szCs w:val="20"/>
          <w:highlight w:val="none"/>
          <w:lang w:val="en-US" w:eastAsia="zh-CN"/>
        </w:rPr>
        <w:t>约</w:t>
      </w:r>
      <w:r>
        <w:rPr>
          <w:rFonts w:hint="default" w:ascii="Times New Roman" w:hAnsi="Times New Roman" w:cs="Times New Roman"/>
          <w:spacing w:val="0"/>
          <w:szCs w:val="20"/>
          <w:highlight w:val="none"/>
        </w:rPr>
        <w:t>9564亩。项目估算总投资约76.06亿。</w:t>
      </w: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w:t>
      </w:r>
      <w:r>
        <w:rPr>
          <w:rFonts w:hint="eastAsia" w:ascii="Times New Roman" w:hAnsi="Times New Roman" w:cs="Times New Roman"/>
          <w:highlight w:val="none"/>
          <w:lang w:val="en-US" w:eastAsia="zh-CN"/>
        </w:rPr>
        <w:t>采购需求</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1、</w:t>
      </w:r>
      <w:r>
        <w:rPr>
          <w:rFonts w:hint="eastAsia" w:ascii="Times New Roman" w:hAnsi="Times New Roman" w:eastAsia="宋体" w:cs="Times New Roman"/>
          <w:spacing w:val="0"/>
          <w:highlight w:val="none"/>
          <w:lang w:val="zh-CN" w:eastAsia="zh-CN"/>
        </w:rPr>
        <w:t>根据国家现行有关规程、规范和</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要求，编制完成淮河干流浮山以下段行洪区调整和建设工程</w:t>
      </w:r>
      <w:r>
        <w:rPr>
          <w:rFonts w:hint="eastAsia" w:ascii="Times New Roman" w:hAnsi="Times New Roman" w:cs="Times New Roman"/>
          <w:spacing w:val="0"/>
          <w:highlight w:val="none"/>
          <w:lang w:val="en-US" w:eastAsia="zh-CN"/>
        </w:rPr>
        <w:t>地震安全性评价</w:t>
      </w:r>
      <w:r>
        <w:rPr>
          <w:rFonts w:hint="eastAsia" w:ascii="Times New Roman" w:hAnsi="Times New Roman" w:eastAsia="宋体" w:cs="Times New Roman"/>
          <w:spacing w:val="0"/>
          <w:highlight w:val="none"/>
          <w:lang w:val="zh-CN" w:eastAsia="zh-CN"/>
        </w:rPr>
        <w:t>报告，参加专家评审会并按评审意见及时修改、完善，2022年</w:t>
      </w:r>
      <w:r>
        <w:rPr>
          <w:rFonts w:hint="eastAsia" w:ascii="Times New Roman" w:hAnsi="Times New Roman" w:cs="Times New Roman"/>
          <w:spacing w:val="0"/>
          <w:highlight w:val="none"/>
          <w:lang w:val="en-US" w:eastAsia="zh-CN"/>
        </w:rPr>
        <w:t>12</w:t>
      </w:r>
      <w:r>
        <w:rPr>
          <w:rFonts w:hint="eastAsia" w:ascii="Times New Roman" w:hAnsi="Times New Roman" w:eastAsia="宋体" w:cs="Times New Roman"/>
          <w:spacing w:val="0"/>
          <w:highlight w:val="none"/>
          <w:lang w:val="zh-CN" w:eastAsia="zh-CN"/>
        </w:rPr>
        <w:t>月底前通过专家论证，提交最终成果，并获得相关主管部门的</w:t>
      </w:r>
      <w:r>
        <w:rPr>
          <w:rFonts w:hint="eastAsia" w:ascii="Times New Roman" w:hAnsi="Times New Roman" w:cs="Times New Roman"/>
          <w:spacing w:val="0"/>
          <w:highlight w:val="none"/>
          <w:lang w:val="en-US" w:eastAsia="zh-CN"/>
        </w:rPr>
        <w:t>批复</w:t>
      </w:r>
      <w:r>
        <w:rPr>
          <w:rFonts w:hint="eastAsia" w:ascii="Times New Roman" w:hAnsi="Times New Roman" w:eastAsia="宋体" w:cs="Times New Roman"/>
          <w:spacing w:val="0"/>
          <w:highlight w:val="none"/>
          <w:lang w:val="zh-CN" w:eastAsia="zh-CN"/>
        </w:rPr>
        <w:t>。</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2、</w:t>
      </w:r>
      <w:r>
        <w:rPr>
          <w:rFonts w:hint="eastAsia" w:ascii="Times New Roman" w:hAnsi="Times New Roman" w:eastAsia="宋体" w:cs="Times New Roman"/>
          <w:spacing w:val="0"/>
          <w:highlight w:val="none"/>
          <w:lang w:val="zh-CN" w:eastAsia="zh-CN"/>
        </w:rPr>
        <w:t>配合</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取得淮河干流浮山以下段行洪区调整和建设工程可行性研究报告批复。</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3、报告必须符合国家有关的规划、政策、法规规定，内容深度必须达到国家和行业规定的标准，基本内容要完整。</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4、服务单位必须站在客观公正的立场进行调查研究，做好基础资料的收集工作。对于收集的基础资料，要按照客观实际情况进行论证评价，如实地反映客观经济规律，从客观数据出发，通过科学分析，得出</w:t>
      </w:r>
      <w:bookmarkStart w:id="1" w:name="_GoBack"/>
      <w:bookmarkEnd w:id="1"/>
      <w:r>
        <w:rPr>
          <w:rFonts w:hint="eastAsia" w:ascii="Times New Roman" w:hAnsi="Times New Roman" w:eastAsia="宋体" w:cs="Times New Roman"/>
          <w:spacing w:val="0"/>
          <w:highlight w:val="none"/>
          <w:lang w:val="zh-CN" w:eastAsia="zh-CN"/>
        </w:rPr>
        <w:t>结论。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5、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sectPr>
      <w:footerReference r:id="rId3" w:type="default"/>
      <w:pgSz w:w="11910" w:h="16840"/>
      <w:pgMar w:top="1247" w:right="1247" w:bottom="124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TdkOThiNDE4NDQwYjQ2YzRkNzFkOTcyMjI5ZjBkNWUifQ=="/>
  </w:docVars>
  <w:rsids>
    <w:rsidRoot w:val="001115BF"/>
    <w:rsid w:val="001115BF"/>
    <w:rsid w:val="00350EFB"/>
    <w:rsid w:val="009676A0"/>
    <w:rsid w:val="00A354B5"/>
    <w:rsid w:val="00F3422A"/>
    <w:rsid w:val="0B38279C"/>
    <w:rsid w:val="1E851DDC"/>
    <w:rsid w:val="26867B60"/>
    <w:rsid w:val="279B25A8"/>
    <w:rsid w:val="2C22715E"/>
    <w:rsid w:val="390F16EF"/>
    <w:rsid w:val="3BF15382"/>
    <w:rsid w:val="3E286C02"/>
    <w:rsid w:val="40621D57"/>
    <w:rsid w:val="44957F81"/>
    <w:rsid w:val="482236E4"/>
    <w:rsid w:val="494234D8"/>
    <w:rsid w:val="593162C5"/>
    <w:rsid w:val="62FE4862"/>
    <w:rsid w:val="66E85219"/>
    <w:rsid w:val="671B5A2B"/>
    <w:rsid w:val="679C1B1D"/>
    <w:rsid w:val="6AC83B46"/>
    <w:rsid w:val="6C0A407F"/>
    <w:rsid w:val="7025292B"/>
    <w:rsid w:val="729F651F"/>
    <w:rsid w:val="744E005F"/>
    <w:rsid w:val="7ACC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3"/>
    <w:basedOn w:val="1"/>
    <w:qFormat/>
    <w:uiPriority w:val="0"/>
    <w:pPr>
      <w:keepNext/>
      <w:keepLines/>
      <w:adjustRightInd w:val="0"/>
      <w:ind w:firstLine="0" w:firstLineChars="0"/>
      <w:outlineLvl w:val="2"/>
    </w:pPr>
    <w:rPr>
      <w:rFonts w:eastAsia="黑体"/>
      <w:bCs/>
      <w:snapToGrid w:val="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881</Words>
  <Characters>1019</Characters>
  <Lines>17</Lines>
  <Paragraphs>4</Paragraphs>
  <TotalTime>5170</TotalTime>
  <ScaleCrop>false</ScaleCrop>
  <LinksUpToDate>false</LinksUpToDate>
  <CharactersWithSpaces>1021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席翔</cp:lastModifiedBy>
  <cp:lastPrinted>2022-06-20T02:33:00Z</cp:lastPrinted>
  <dcterms:modified xsi:type="dcterms:W3CDTF">2022-09-06T12:23:57Z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2052-11.1.0.12313</vt:lpwstr>
  </property>
  <property fmtid="{D5CDD505-2E9C-101B-9397-08002B2CF9AE}" pid="6" name="ICV">
    <vt:lpwstr>527ED0BE15C74FF7B5115EFDAA8E8CFD</vt:lpwstr>
  </property>
</Properties>
</file>