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30"/>
        <w:ind w:left="0" w:right="0"/>
        <w:jc w:val="center"/>
        <w:textAlignment w:val="auto"/>
        <w:rPr>
          <w:rFonts w:hint="default" w:ascii="Times New Roman" w:hAnsi="Times New Roman" w:cs="Times New Roman"/>
          <w:b/>
          <w:w w:val="99"/>
          <w:sz w:val="30"/>
          <w:highlight w:val="none"/>
        </w:rPr>
      </w:pPr>
      <w:r>
        <w:rPr>
          <w:rFonts w:hint="eastAsia" w:ascii="Times New Roman" w:hAnsi="Times New Roman" w:cs="Times New Roman"/>
          <w:b/>
          <w:sz w:val="36"/>
          <w:highlight w:val="none"/>
          <w:lang w:val="en-US" w:eastAsia="zh-CN"/>
        </w:rPr>
        <w:t>工程概况与</w:t>
      </w:r>
      <w:r>
        <w:rPr>
          <w:rFonts w:hint="default" w:ascii="Times New Roman" w:hAnsi="Times New Roman" w:cs="Times New Roman"/>
          <w:b/>
          <w:sz w:val="36"/>
          <w:highlight w:val="none"/>
        </w:rPr>
        <w:t>采购需求</w:t>
      </w:r>
      <w:r>
        <w:rPr>
          <w:rFonts w:hint="default" w:ascii="Times New Roman" w:hAnsi="Times New Roman" w:cs="Times New Roman"/>
          <w:b/>
          <w:w w:val="99"/>
          <w:sz w:val="30"/>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before="30"/>
        <w:ind w:left="0" w:right="0"/>
        <w:jc w:val="center"/>
        <w:textAlignment w:val="auto"/>
        <w:rPr>
          <w:rFonts w:hint="default" w:ascii="Times New Roman" w:hAnsi="Times New Roman" w:cs="Times New Roman"/>
          <w:b/>
          <w:w w:val="99"/>
          <w:sz w:val="30"/>
          <w:highlight w:val="none"/>
        </w:rPr>
      </w:pPr>
    </w:p>
    <w:p>
      <w:pPr>
        <w:pStyle w:val="3"/>
        <w:keepNext w:val="0"/>
        <w:keepLines w:val="0"/>
        <w:pageBreakBefore w:val="0"/>
        <w:widowControl w:val="0"/>
        <w:kinsoku/>
        <w:wordWrap/>
        <w:overflowPunct/>
        <w:topLinePunct w:val="0"/>
        <w:autoSpaceDE w:val="0"/>
        <w:autoSpaceDN w:val="0"/>
        <w:bidi w:val="0"/>
        <w:adjustRightInd/>
        <w:snapToGrid w:val="0"/>
        <w:spacing w:before="0" w:line="336" w:lineRule="auto"/>
        <w:ind w:left="0" w:firstLine="562" w:firstLineChars="200"/>
        <w:textAlignment w:val="auto"/>
        <w:rPr>
          <w:rFonts w:hint="default" w:ascii="Times New Roman" w:hAnsi="Times New Roman" w:cs="Times New Roman"/>
          <w:highlight w:val="none"/>
        </w:rPr>
      </w:pPr>
      <w:bookmarkStart w:id="0" w:name="一、工程概况"/>
      <w:bookmarkEnd w:id="0"/>
      <w:r>
        <w:rPr>
          <w:rFonts w:hint="default" w:ascii="Times New Roman" w:hAnsi="Times New Roman" w:cs="Times New Roman"/>
          <w:highlight w:val="none"/>
        </w:rPr>
        <w:t>一、工程概况</w:t>
      </w:r>
    </w:p>
    <w:p>
      <w:pPr>
        <w:pStyle w:val="14"/>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cs="Times New Roman"/>
          <w:spacing w:val="0"/>
          <w:szCs w:val="20"/>
          <w:highlight w:val="none"/>
        </w:rPr>
      </w:pPr>
      <w:r>
        <w:rPr>
          <w:rFonts w:hint="default" w:ascii="Times New Roman" w:hAnsi="Times New Roman" w:cs="Times New Roman"/>
          <w:spacing w:val="0"/>
          <w:szCs w:val="20"/>
          <w:highlight w:val="none"/>
        </w:rPr>
        <w:t>池河是淮河干流右岸一级支流，流经肥东、定远、凤阳和明光四县（市），在磨山入女山湖，河道全长182km，流域面积5021km2。池河石角桥以上为上游，石角桥至明光水文站为中游，明光水文站以下为下游。池河在定远三和集以上两岸基本无堤防，圩区主要分布于三和集以下的中、下游两岸，明光市区位于池河右岸明光圩内。。</w:t>
      </w:r>
    </w:p>
    <w:p>
      <w:pPr>
        <w:pStyle w:val="14"/>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cs="Times New Roman"/>
          <w:spacing w:val="0"/>
          <w:szCs w:val="20"/>
          <w:highlight w:val="none"/>
        </w:rPr>
      </w:pPr>
      <w:r>
        <w:rPr>
          <w:rFonts w:hint="default" w:ascii="Times New Roman" w:hAnsi="Times New Roman" w:cs="Times New Roman"/>
          <w:spacing w:val="0"/>
          <w:szCs w:val="20"/>
          <w:highlight w:val="none"/>
        </w:rPr>
        <w:t>池河防洪治理工程的治理范围主要为石角桥～磨山河段，总长约90km，同时对江巷水库～石角桥段河道断面狭窄、严重阻碍行洪的部分河段进行适当治理。</w:t>
      </w:r>
    </w:p>
    <w:p>
      <w:pPr>
        <w:pStyle w:val="14"/>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cs="Times New Roman"/>
          <w:spacing w:val="0"/>
          <w:szCs w:val="20"/>
          <w:highlight w:val="none"/>
        </w:rPr>
      </w:pPr>
      <w:r>
        <w:rPr>
          <w:rFonts w:hint="default" w:ascii="Times New Roman" w:hAnsi="Times New Roman" w:cs="Times New Roman"/>
          <w:spacing w:val="0"/>
          <w:szCs w:val="20"/>
          <w:highlight w:val="none"/>
        </w:rPr>
        <w:t>本工程的主要工程内容包括：疏浚定远县大桥镇上下游段河道3.23km；加固三和南圩、乌罗圩、沈湾圩等7处圩堤，总长26.55km；新建池河镇堤路结合段2.79km；新建防洪墙1.73km；新建护坡长3.98km、护岸长6.50km；填塘固基17.82万m³；新建防汛道路26.83km、新建上下堤道路19条。拆除重建山许闸、新建大桥镇翻板闸；拆除重建山许站、西高排涝站等共7座泵站；新建、拆除重建三和南涵、乌罗1涵、铁树银涵等18座排涝涵；拆除重建桥梁2座、新建桥梁5座。</w:t>
      </w:r>
    </w:p>
    <w:p>
      <w:pPr>
        <w:pStyle w:val="14"/>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cs="Times New Roman"/>
          <w:spacing w:val="0"/>
          <w:szCs w:val="20"/>
          <w:highlight w:val="none"/>
        </w:rPr>
      </w:pPr>
      <w:r>
        <w:rPr>
          <w:rFonts w:hint="default" w:ascii="Times New Roman" w:hAnsi="Times New Roman" w:cs="Times New Roman"/>
          <w:spacing w:val="0"/>
          <w:szCs w:val="20"/>
          <w:highlight w:val="none"/>
        </w:rPr>
        <w:t>工程实施后，池河石角桥～磨山河段防洪保护区的防洪标准总体达到20年一遇，建成较为完善的防洪除涝减灾体系，保护流域内人民群众的生命财产安全，改善粮食生产条件，推动和保障区域经济发展。。</w:t>
      </w:r>
    </w:p>
    <w:p>
      <w:pPr>
        <w:pStyle w:val="14"/>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cs="Times New Roman"/>
          <w:spacing w:val="0"/>
          <w:szCs w:val="20"/>
          <w:highlight w:val="none"/>
        </w:rPr>
      </w:pPr>
      <w:r>
        <w:rPr>
          <w:rFonts w:hint="default" w:ascii="Times New Roman" w:hAnsi="Times New Roman" w:cs="Times New Roman"/>
          <w:spacing w:val="0"/>
          <w:szCs w:val="20"/>
          <w:highlight w:val="none"/>
        </w:rPr>
        <w:t>本区构造单元属扬子准地台下，扬子地层分区的盱眙-滁县地层小区。从构造体系看，池河流域处于东部新华夏系第二沉降带与秦岭纬向构造带的复合部位，是中朝准地台的南缘。池河流域大地构造是以郯（城）庐（江）断裂带为界，池河流域以西构造单元为中朝准地台淮河台坳（Ⅰ1）的蚌埠台拱（Ⅰ12）、淮南陷褶束带（Ⅰ13），蚌埠台拱（Ⅰ12）内近东西向断层与北北东向断层均甚发育，而且成网格状展布。池河流域以东构造单元为扬子准地台淮阳台隆（Ⅲ1）张八岭台拱（Ⅲ11），池河下游入淮河段地质构造上位于淮阳山字型构造前弧东翼的北东端，淮阳山字型东翼第一隆起带与淮阳山字型东翼第一沉降带之间的过渡部分，池河-西山驿断裂几乎与池河干流平行，流域右侧属扬子准地台的张八岭台隆矮丘地区属断陷盆地，流域左侧为中朝准地台的定远褶束。池河-西山驿断裂为区域北北东向郯庐断裂带重要主干断层池（河）-太（湖）深断裂北段，从构造特征看，燕山期、喜山期以来断层经过多次不同性质活动，以压性、压扭性为主。</w:t>
      </w:r>
    </w:p>
    <w:p>
      <w:pPr>
        <w:pStyle w:val="14"/>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cs="Times New Roman"/>
          <w:spacing w:val="0"/>
          <w:szCs w:val="20"/>
          <w:highlight w:val="none"/>
        </w:rPr>
      </w:pPr>
      <w:r>
        <w:rPr>
          <w:rFonts w:hint="default" w:ascii="Times New Roman" w:hAnsi="Times New Roman" w:cs="Times New Roman"/>
          <w:spacing w:val="0"/>
          <w:szCs w:val="20"/>
          <w:highlight w:val="none"/>
        </w:rPr>
        <w:t>根据《中国地震动参数区划图》（GB18306-2015），工程区域池河干流桩号143+234以上（明西街道以南）段地震动峰值加速度为0.10g，相应地震基本烈度为Ⅶ度。池河桩号143+234以下（明西街道、桥头镇、古沛镇等）女山段地震动峰值加速度为0.15g，相应地震基本烈度为Ⅶ度。</w:t>
      </w:r>
    </w:p>
    <w:p>
      <w:pPr>
        <w:pStyle w:val="2"/>
        <w:jc w:val="center"/>
        <w:rPr>
          <w:rFonts w:hint="eastAsia" w:eastAsia="仿宋"/>
          <w:b/>
          <w:bCs/>
          <w:sz w:val="28"/>
          <w:szCs w:val="28"/>
          <w:lang w:val="en-US" w:eastAsia="zh-CN"/>
        </w:rPr>
      </w:pPr>
      <w:r>
        <w:rPr>
          <w:rFonts w:hint="eastAsia" w:eastAsia="仿宋"/>
          <w:b/>
          <w:bCs/>
          <w:sz w:val="28"/>
          <w:szCs w:val="28"/>
          <w:lang w:val="en-US" w:eastAsia="zh-CN"/>
        </w:rPr>
        <w:t>建筑物规划设计规模/级别</w:t>
      </w:r>
    </w:p>
    <w:tbl>
      <w:tblPr>
        <w:tblStyle w:val="9"/>
        <w:tblW w:w="8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140"/>
        <w:gridCol w:w="1139"/>
        <w:gridCol w:w="1509"/>
        <w:gridCol w:w="844"/>
        <w:gridCol w:w="2195"/>
        <w:gridCol w:w="1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5" w:hRule="atLeast"/>
          <w:tblHeader/>
        </w:trPr>
        <w:tc>
          <w:tcPr>
            <w:tcW w:w="1140"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eastAsia" w:ascii="Times New Roman" w:hAnsi="Times New Roman" w:eastAsia="宋体" w:cs="Times New Roman"/>
                <w:b/>
                <w:i w:val="0"/>
                <w:color w:val="000000"/>
                <w:sz w:val="24"/>
                <w:szCs w:val="24"/>
                <w:u w:val="none"/>
                <w:lang w:val="en-US" w:eastAsia="zh-CN"/>
              </w:rPr>
            </w:pPr>
            <w:r>
              <w:rPr>
                <w:rFonts w:hint="eastAsia" w:ascii="Times New Roman" w:hAnsi="Times New Roman" w:eastAsia="宋体" w:cs="Times New Roman"/>
                <w:b/>
                <w:i w:val="0"/>
                <w:color w:val="000000"/>
                <w:sz w:val="24"/>
                <w:szCs w:val="24"/>
                <w:u w:val="none"/>
                <w:lang w:val="en-US" w:eastAsia="zh-CN"/>
              </w:rPr>
              <w:t>类别</w:t>
            </w:r>
          </w:p>
        </w:tc>
        <w:tc>
          <w:tcPr>
            <w:tcW w:w="113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i w:val="0"/>
                <w:color w:val="000000"/>
                <w:sz w:val="24"/>
                <w:szCs w:val="24"/>
                <w:u w:val="none"/>
              </w:rPr>
            </w:pPr>
            <w:r>
              <w:rPr>
                <w:rFonts w:hint="eastAsia" w:ascii="Times New Roman" w:hAnsi="Times New Roman" w:eastAsia="宋体" w:cs="Times New Roman"/>
                <w:b/>
                <w:i w:val="0"/>
                <w:color w:val="000000"/>
                <w:kern w:val="0"/>
                <w:sz w:val="24"/>
                <w:szCs w:val="24"/>
                <w:u w:val="none"/>
                <w:lang w:val="en-US" w:eastAsia="zh-CN" w:bidi="ar"/>
              </w:rPr>
              <w:t>种类</w:t>
            </w:r>
          </w:p>
        </w:tc>
        <w:tc>
          <w:tcPr>
            <w:tcW w:w="15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宋体" w:cs="Times New Roman"/>
                <w:b/>
                <w:i w:val="0"/>
                <w:color w:val="000000"/>
                <w:sz w:val="24"/>
                <w:szCs w:val="24"/>
                <w:u w:val="none"/>
                <w:lang w:val="en-US" w:eastAsia="zh-CN"/>
              </w:rPr>
            </w:pPr>
            <w:r>
              <w:rPr>
                <w:rFonts w:hint="eastAsia" w:ascii="Times New Roman" w:hAnsi="Times New Roman" w:eastAsia="宋体" w:cs="Times New Roman"/>
                <w:b/>
                <w:i w:val="0"/>
                <w:color w:val="000000"/>
                <w:sz w:val="24"/>
                <w:szCs w:val="24"/>
                <w:u w:val="none"/>
                <w:lang w:val="en-US" w:eastAsia="zh-CN"/>
              </w:rPr>
              <w:t>建设性质</w:t>
            </w:r>
          </w:p>
        </w:tc>
        <w:tc>
          <w:tcPr>
            <w:tcW w:w="844"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i w:val="0"/>
                <w:color w:val="000000"/>
                <w:sz w:val="24"/>
                <w:szCs w:val="24"/>
                <w:u w:val="none"/>
              </w:rPr>
            </w:pPr>
            <w:r>
              <w:rPr>
                <w:rFonts w:hint="eastAsia" w:ascii="Times New Roman" w:hAnsi="Times New Roman" w:eastAsia="宋体" w:cs="Times New Roman"/>
                <w:b/>
                <w:i w:val="0"/>
                <w:color w:val="000000"/>
                <w:kern w:val="0"/>
                <w:sz w:val="24"/>
                <w:szCs w:val="24"/>
                <w:u w:val="none"/>
                <w:lang w:val="en-US" w:eastAsia="zh-CN" w:bidi="ar"/>
              </w:rPr>
              <w:t>序号</w:t>
            </w:r>
          </w:p>
        </w:tc>
        <w:tc>
          <w:tcPr>
            <w:tcW w:w="21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i w:val="0"/>
                <w:color w:val="000000"/>
                <w:sz w:val="24"/>
                <w:szCs w:val="24"/>
                <w:u w:val="none"/>
              </w:rPr>
            </w:pPr>
            <w:r>
              <w:rPr>
                <w:rFonts w:hint="eastAsia" w:ascii="Times New Roman" w:hAnsi="Times New Roman" w:eastAsia="宋体" w:cs="Times New Roman"/>
                <w:b/>
                <w:i w:val="0"/>
                <w:color w:val="000000"/>
                <w:kern w:val="0"/>
                <w:sz w:val="24"/>
                <w:szCs w:val="24"/>
                <w:u w:val="none"/>
                <w:lang w:val="en-US" w:eastAsia="zh-CN" w:bidi="ar"/>
              </w:rPr>
              <w:t>名称</w:t>
            </w:r>
          </w:p>
        </w:tc>
        <w:tc>
          <w:tcPr>
            <w:tcW w:w="15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i w:val="0"/>
                <w:color w:val="000000"/>
                <w:sz w:val="24"/>
                <w:szCs w:val="24"/>
                <w:u w:val="none"/>
                <w:lang w:val="en-US"/>
              </w:rPr>
            </w:pPr>
            <w:r>
              <w:rPr>
                <w:rFonts w:hint="default" w:ascii="Times New Roman" w:hAnsi="Times New Roman" w:eastAsia="宋体" w:cs="Times New Roman"/>
                <w:b/>
                <w:i w:val="0"/>
                <w:color w:val="000000"/>
                <w:kern w:val="0"/>
                <w:sz w:val="24"/>
                <w:szCs w:val="24"/>
                <w:u w:val="none"/>
                <w:lang w:val="en-US" w:eastAsia="zh-CN" w:bidi="ar"/>
              </w:rPr>
              <w:t>规模</w:t>
            </w:r>
            <w:r>
              <w:rPr>
                <w:rFonts w:hint="eastAsia" w:ascii="Times New Roman" w:hAnsi="Times New Roman" w:eastAsia="宋体" w:cs="Times New Roman"/>
                <w:b/>
                <w:i w:val="0"/>
                <w:color w:val="000000"/>
                <w:kern w:val="0"/>
                <w:sz w:val="24"/>
                <w:szCs w:val="24"/>
                <w:u w:val="none"/>
                <w:lang w:val="en-US" w:eastAsia="zh-CN" w:bidi="ar"/>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5" w:hRule="atLeast"/>
        </w:trPr>
        <w:tc>
          <w:tcPr>
            <w:tcW w:w="1140" w:type="dxa"/>
            <w:vMerge w:val="restart"/>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建筑物工程</w:t>
            </w:r>
          </w:p>
        </w:tc>
        <w:tc>
          <w:tcPr>
            <w:tcW w:w="1139" w:type="dxa"/>
            <w:vMerge w:val="restart"/>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排涝涵</w:t>
            </w:r>
          </w:p>
        </w:tc>
        <w:tc>
          <w:tcPr>
            <w:tcW w:w="1509" w:type="dxa"/>
            <w:vMerge w:val="restart"/>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新建</w:t>
            </w:r>
          </w:p>
        </w:tc>
        <w:tc>
          <w:tcPr>
            <w:tcW w:w="844"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2195" w:type="dxa"/>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池河镇</w:t>
            </w:r>
            <w:r>
              <w:rPr>
                <w:rStyle w:val="19"/>
                <w:rFonts w:hint="default" w:ascii="Times New Roman" w:hAnsi="Times New Roman" w:eastAsia="宋体" w:cs="Times New Roman"/>
                <w:sz w:val="24"/>
                <w:szCs w:val="24"/>
                <w:lang w:val="en-US" w:eastAsia="zh-CN" w:bidi="ar"/>
              </w:rPr>
              <w:t>1</w:t>
            </w:r>
            <w:r>
              <w:rPr>
                <w:rStyle w:val="20"/>
                <w:rFonts w:hint="default" w:ascii="Times New Roman" w:hAnsi="Times New Roman" w:eastAsia="宋体" w:cs="Times New Roman"/>
                <w:sz w:val="24"/>
                <w:szCs w:val="24"/>
                <w:lang w:val="en-US" w:eastAsia="zh-CN" w:bidi="ar"/>
              </w:rPr>
              <w:t>涵</w:t>
            </w:r>
          </w:p>
        </w:tc>
        <w:tc>
          <w:tcPr>
            <w:tcW w:w="1509"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5" w:hRule="atLeast"/>
        </w:trPr>
        <w:tc>
          <w:tcPr>
            <w:tcW w:w="1140"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139"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509"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844"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2195" w:type="dxa"/>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池河镇</w:t>
            </w:r>
            <w:r>
              <w:rPr>
                <w:rStyle w:val="19"/>
                <w:rFonts w:hint="default" w:ascii="Times New Roman" w:hAnsi="Times New Roman" w:eastAsia="宋体" w:cs="Times New Roman"/>
                <w:sz w:val="24"/>
                <w:szCs w:val="24"/>
                <w:lang w:val="en-US" w:eastAsia="zh-CN" w:bidi="ar"/>
              </w:rPr>
              <w:t>2</w:t>
            </w:r>
            <w:r>
              <w:rPr>
                <w:rStyle w:val="20"/>
                <w:rFonts w:hint="default" w:ascii="Times New Roman" w:hAnsi="Times New Roman" w:eastAsia="宋体" w:cs="Times New Roman"/>
                <w:sz w:val="24"/>
                <w:szCs w:val="24"/>
                <w:lang w:val="en-US" w:eastAsia="zh-CN" w:bidi="ar"/>
              </w:rPr>
              <w:t>涵</w:t>
            </w:r>
          </w:p>
        </w:tc>
        <w:tc>
          <w:tcPr>
            <w:tcW w:w="1509"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5" w:hRule="atLeast"/>
        </w:trPr>
        <w:tc>
          <w:tcPr>
            <w:tcW w:w="1140"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139"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509"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844"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2195" w:type="dxa"/>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长蔡涵</w:t>
            </w:r>
          </w:p>
        </w:tc>
        <w:tc>
          <w:tcPr>
            <w:tcW w:w="15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r>
              <w:rPr>
                <w:rStyle w:val="21"/>
                <w:rFonts w:hint="default" w:ascii="Times New Roman" w:hAnsi="Times New Roman" w:eastAsia="宋体" w:cs="Times New Roman"/>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5" w:hRule="atLeast"/>
        </w:trPr>
        <w:tc>
          <w:tcPr>
            <w:tcW w:w="1140"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139"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509" w:type="dxa"/>
            <w:vMerge w:val="restart"/>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拆除重建</w:t>
            </w:r>
          </w:p>
        </w:tc>
        <w:tc>
          <w:tcPr>
            <w:tcW w:w="844"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2195" w:type="dxa"/>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山岗圩</w:t>
            </w:r>
            <w:r>
              <w:rPr>
                <w:rStyle w:val="19"/>
                <w:rFonts w:hint="default" w:ascii="Times New Roman" w:hAnsi="Times New Roman" w:eastAsia="宋体" w:cs="Times New Roman"/>
                <w:sz w:val="24"/>
                <w:szCs w:val="24"/>
                <w:lang w:val="en-US" w:eastAsia="zh-CN" w:bidi="ar"/>
              </w:rPr>
              <w:t>1</w:t>
            </w:r>
            <w:r>
              <w:rPr>
                <w:rStyle w:val="20"/>
                <w:rFonts w:hint="default" w:ascii="Times New Roman" w:hAnsi="Times New Roman" w:eastAsia="宋体" w:cs="Times New Roman"/>
                <w:sz w:val="24"/>
                <w:szCs w:val="24"/>
                <w:lang w:val="en-US" w:eastAsia="zh-CN" w:bidi="ar"/>
              </w:rPr>
              <w:t>涵</w:t>
            </w:r>
          </w:p>
        </w:tc>
        <w:tc>
          <w:tcPr>
            <w:tcW w:w="1509"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trPr>
        <w:tc>
          <w:tcPr>
            <w:tcW w:w="1140"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139"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509"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844"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2195" w:type="dxa"/>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山岗圩</w:t>
            </w:r>
            <w:r>
              <w:rPr>
                <w:rStyle w:val="19"/>
                <w:rFonts w:hint="default" w:ascii="Times New Roman" w:hAnsi="Times New Roman" w:eastAsia="宋体" w:cs="Times New Roman"/>
                <w:sz w:val="24"/>
                <w:szCs w:val="24"/>
                <w:lang w:val="en-US" w:eastAsia="zh-CN" w:bidi="ar"/>
              </w:rPr>
              <w:t>2</w:t>
            </w:r>
            <w:r>
              <w:rPr>
                <w:rStyle w:val="20"/>
                <w:rFonts w:hint="default" w:ascii="Times New Roman" w:hAnsi="Times New Roman" w:eastAsia="宋体" w:cs="Times New Roman"/>
                <w:sz w:val="24"/>
                <w:szCs w:val="24"/>
                <w:lang w:val="en-US" w:eastAsia="zh-CN" w:bidi="ar"/>
              </w:rPr>
              <w:t>涵</w:t>
            </w:r>
          </w:p>
        </w:tc>
        <w:tc>
          <w:tcPr>
            <w:tcW w:w="1509"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trPr>
        <w:tc>
          <w:tcPr>
            <w:tcW w:w="1140"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139"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509"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844"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2195"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三和南涵</w:t>
            </w:r>
          </w:p>
        </w:tc>
        <w:tc>
          <w:tcPr>
            <w:tcW w:w="1509"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trPr>
        <w:tc>
          <w:tcPr>
            <w:tcW w:w="1140"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139"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509"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844"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p>
        </w:tc>
        <w:tc>
          <w:tcPr>
            <w:tcW w:w="2195"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三和涵</w:t>
            </w:r>
          </w:p>
        </w:tc>
        <w:tc>
          <w:tcPr>
            <w:tcW w:w="1509"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5" w:hRule="atLeast"/>
        </w:trPr>
        <w:tc>
          <w:tcPr>
            <w:tcW w:w="1140"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139"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509"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844"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2195"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三和北圩涵</w:t>
            </w:r>
          </w:p>
        </w:tc>
        <w:tc>
          <w:tcPr>
            <w:tcW w:w="1509"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1140"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139"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509"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844"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w:t>
            </w:r>
          </w:p>
        </w:tc>
        <w:tc>
          <w:tcPr>
            <w:tcW w:w="2195"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铁树银涵</w:t>
            </w:r>
          </w:p>
        </w:tc>
        <w:tc>
          <w:tcPr>
            <w:tcW w:w="15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r>
              <w:rPr>
                <w:rStyle w:val="21"/>
                <w:rFonts w:hint="default" w:ascii="Times New Roman" w:hAnsi="Times New Roman" w:eastAsia="宋体" w:cs="Times New Roman"/>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5" w:hRule="atLeast"/>
        </w:trPr>
        <w:tc>
          <w:tcPr>
            <w:tcW w:w="1140"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139"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509"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844"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w:t>
            </w:r>
          </w:p>
        </w:tc>
        <w:tc>
          <w:tcPr>
            <w:tcW w:w="2195"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后李涵</w:t>
            </w:r>
          </w:p>
        </w:tc>
        <w:tc>
          <w:tcPr>
            <w:tcW w:w="1509"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trPr>
        <w:tc>
          <w:tcPr>
            <w:tcW w:w="1140"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139"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509"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844"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w:t>
            </w:r>
          </w:p>
        </w:tc>
        <w:tc>
          <w:tcPr>
            <w:tcW w:w="2195"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后代涵</w:t>
            </w:r>
          </w:p>
        </w:tc>
        <w:tc>
          <w:tcPr>
            <w:tcW w:w="1509"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5" w:hRule="atLeast"/>
        </w:trPr>
        <w:tc>
          <w:tcPr>
            <w:tcW w:w="1140"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139"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509"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844"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w:t>
            </w:r>
          </w:p>
        </w:tc>
        <w:tc>
          <w:tcPr>
            <w:tcW w:w="2195"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东湾圩涵</w:t>
            </w:r>
          </w:p>
        </w:tc>
        <w:tc>
          <w:tcPr>
            <w:tcW w:w="1509"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trPr>
        <w:tc>
          <w:tcPr>
            <w:tcW w:w="1140"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139"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509"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844"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2195"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乌罗</w:t>
            </w:r>
            <w:r>
              <w:rPr>
                <w:rStyle w:val="19"/>
                <w:rFonts w:hint="default" w:ascii="Times New Roman" w:hAnsi="Times New Roman" w:eastAsia="宋体" w:cs="Times New Roman"/>
                <w:sz w:val="24"/>
                <w:szCs w:val="24"/>
                <w:lang w:val="en-US" w:eastAsia="zh-CN" w:bidi="ar"/>
              </w:rPr>
              <w:t>1</w:t>
            </w:r>
            <w:r>
              <w:rPr>
                <w:rStyle w:val="20"/>
                <w:rFonts w:hint="default" w:ascii="Times New Roman" w:hAnsi="Times New Roman" w:eastAsia="宋体" w:cs="Times New Roman"/>
                <w:sz w:val="24"/>
                <w:szCs w:val="24"/>
                <w:lang w:val="en-US" w:eastAsia="zh-CN" w:bidi="ar"/>
              </w:rPr>
              <w:t>涵</w:t>
            </w:r>
          </w:p>
        </w:tc>
        <w:tc>
          <w:tcPr>
            <w:tcW w:w="1509"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5" w:hRule="atLeast"/>
        </w:trPr>
        <w:tc>
          <w:tcPr>
            <w:tcW w:w="1140"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139"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509"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844"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11</w:t>
            </w:r>
          </w:p>
        </w:tc>
        <w:tc>
          <w:tcPr>
            <w:tcW w:w="2195"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乌罗涵</w:t>
            </w:r>
          </w:p>
        </w:tc>
        <w:tc>
          <w:tcPr>
            <w:tcW w:w="1509"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5" w:hRule="atLeast"/>
        </w:trPr>
        <w:tc>
          <w:tcPr>
            <w:tcW w:w="1140"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139"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509"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844"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w:t>
            </w:r>
          </w:p>
        </w:tc>
        <w:tc>
          <w:tcPr>
            <w:tcW w:w="2195"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乌罗</w:t>
            </w:r>
            <w:r>
              <w:rPr>
                <w:rStyle w:val="19"/>
                <w:rFonts w:hint="default" w:ascii="Times New Roman" w:hAnsi="Times New Roman" w:eastAsia="宋体" w:cs="Times New Roman"/>
                <w:sz w:val="24"/>
                <w:szCs w:val="24"/>
                <w:lang w:val="en-US" w:eastAsia="zh-CN" w:bidi="ar"/>
              </w:rPr>
              <w:t>2</w:t>
            </w:r>
            <w:r>
              <w:rPr>
                <w:rStyle w:val="20"/>
                <w:rFonts w:hint="default" w:ascii="Times New Roman" w:hAnsi="Times New Roman" w:eastAsia="宋体" w:cs="Times New Roman"/>
                <w:sz w:val="24"/>
                <w:szCs w:val="24"/>
                <w:lang w:val="en-US" w:eastAsia="zh-CN" w:bidi="ar"/>
              </w:rPr>
              <w:t>涵</w:t>
            </w:r>
          </w:p>
        </w:tc>
        <w:tc>
          <w:tcPr>
            <w:tcW w:w="1509"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5" w:hRule="atLeast"/>
        </w:trPr>
        <w:tc>
          <w:tcPr>
            <w:tcW w:w="1140"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139"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509"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844"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w:t>
            </w:r>
          </w:p>
        </w:tc>
        <w:tc>
          <w:tcPr>
            <w:tcW w:w="2195" w:type="dxa"/>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下郢涵</w:t>
            </w:r>
          </w:p>
        </w:tc>
        <w:tc>
          <w:tcPr>
            <w:tcW w:w="15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r>
              <w:rPr>
                <w:rStyle w:val="21"/>
                <w:rFonts w:hint="default" w:ascii="Times New Roman" w:hAnsi="Times New Roman" w:eastAsia="宋体" w:cs="Times New Roman"/>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trPr>
        <w:tc>
          <w:tcPr>
            <w:tcW w:w="1140"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139"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509"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844"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14</w:t>
            </w:r>
          </w:p>
        </w:tc>
        <w:tc>
          <w:tcPr>
            <w:tcW w:w="2195" w:type="dxa"/>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沈湾涵</w:t>
            </w:r>
          </w:p>
        </w:tc>
        <w:tc>
          <w:tcPr>
            <w:tcW w:w="15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r>
              <w:rPr>
                <w:rStyle w:val="21"/>
                <w:rFonts w:hint="default" w:ascii="Times New Roman" w:hAnsi="Times New Roman" w:eastAsia="宋体" w:cs="Times New Roman"/>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5" w:hRule="atLeast"/>
        </w:trPr>
        <w:tc>
          <w:tcPr>
            <w:tcW w:w="1140"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139"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509"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844"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15</w:t>
            </w:r>
          </w:p>
        </w:tc>
        <w:tc>
          <w:tcPr>
            <w:tcW w:w="2195" w:type="dxa"/>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人民涵</w:t>
            </w:r>
          </w:p>
        </w:tc>
        <w:tc>
          <w:tcPr>
            <w:tcW w:w="15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r>
              <w:rPr>
                <w:rStyle w:val="21"/>
                <w:rFonts w:hint="default" w:ascii="Times New Roman" w:hAnsi="Times New Roman" w:eastAsia="宋体" w:cs="Times New Roman"/>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trPr>
        <w:tc>
          <w:tcPr>
            <w:tcW w:w="1140"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139" w:type="dxa"/>
            <w:vMerge w:val="restart"/>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拦河闸</w:t>
            </w:r>
          </w:p>
        </w:tc>
        <w:tc>
          <w:tcPr>
            <w:tcW w:w="1509"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新建</w:t>
            </w:r>
          </w:p>
        </w:tc>
        <w:tc>
          <w:tcPr>
            <w:tcW w:w="844"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2195" w:type="dxa"/>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大桥镇翻板闸</w:t>
            </w:r>
          </w:p>
        </w:tc>
        <w:tc>
          <w:tcPr>
            <w:tcW w:w="15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r>
              <w:rPr>
                <w:rStyle w:val="21"/>
                <w:rFonts w:hint="default" w:ascii="Times New Roman" w:hAnsi="Times New Roman" w:eastAsia="宋体" w:cs="Times New Roman"/>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5" w:hRule="atLeast"/>
        </w:trPr>
        <w:tc>
          <w:tcPr>
            <w:tcW w:w="1140"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139"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509"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拆除重建</w:t>
            </w:r>
          </w:p>
        </w:tc>
        <w:tc>
          <w:tcPr>
            <w:tcW w:w="844"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2195"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山许闸</w:t>
            </w:r>
          </w:p>
        </w:tc>
        <w:tc>
          <w:tcPr>
            <w:tcW w:w="15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r>
              <w:rPr>
                <w:rStyle w:val="21"/>
                <w:rFonts w:hint="default" w:ascii="Times New Roman" w:hAnsi="Times New Roman" w:eastAsia="宋体" w:cs="Times New Roman"/>
                <w:sz w:val="24"/>
                <w:szCs w:val="24"/>
                <w:lang w:val="en-US" w:eastAsia="zh-CN"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trPr>
        <w:tc>
          <w:tcPr>
            <w:tcW w:w="1140"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139" w:type="dxa"/>
            <w:vMerge w:val="restart"/>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泵站</w:t>
            </w:r>
          </w:p>
        </w:tc>
        <w:tc>
          <w:tcPr>
            <w:tcW w:w="1509" w:type="dxa"/>
            <w:vMerge w:val="restart"/>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拆除重建</w:t>
            </w:r>
          </w:p>
        </w:tc>
        <w:tc>
          <w:tcPr>
            <w:tcW w:w="844"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2195"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小孙排涝站</w:t>
            </w:r>
          </w:p>
        </w:tc>
        <w:tc>
          <w:tcPr>
            <w:tcW w:w="15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小（</w:t>
            </w:r>
            <w:r>
              <w:rPr>
                <w:rStyle w:val="22"/>
                <w:rFonts w:hint="default" w:ascii="Times New Roman" w:hAnsi="Times New Roman" w:eastAsia="宋体" w:cs="Times New Roman"/>
                <w:sz w:val="24"/>
                <w:szCs w:val="24"/>
                <w:lang w:val="en-US" w:eastAsia="zh-CN" w:bidi="ar"/>
              </w:rPr>
              <w:t>2</w:t>
            </w:r>
            <w:r>
              <w:rPr>
                <w:rStyle w:val="21"/>
                <w:rFonts w:hint="default" w:ascii="Times New Roman" w:hAnsi="Times New Roman" w:eastAsia="宋体" w:cs="Times New Roman"/>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trPr>
        <w:tc>
          <w:tcPr>
            <w:tcW w:w="1140"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139" w:type="dxa"/>
            <w:vMerge w:val="continue"/>
            <w:shd w:val="clear" w:color="000000"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509" w:type="dxa"/>
            <w:vMerge w:val="continue"/>
            <w:shd w:val="clear" w:color="000000"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844"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2195"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西高排涝站</w:t>
            </w:r>
          </w:p>
        </w:tc>
        <w:tc>
          <w:tcPr>
            <w:tcW w:w="15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小（</w:t>
            </w:r>
            <w:r>
              <w:rPr>
                <w:rStyle w:val="22"/>
                <w:rFonts w:hint="default" w:ascii="Times New Roman" w:hAnsi="Times New Roman" w:eastAsia="宋体" w:cs="Times New Roman"/>
                <w:sz w:val="24"/>
                <w:szCs w:val="24"/>
                <w:lang w:val="en-US" w:eastAsia="zh-CN" w:bidi="ar"/>
              </w:rPr>
              <w:t>2</w:t>
            </w:r>
            <w:r>
              <w:rPr>
                <w:rStyle w:val="21"/>
                <w:rFonts w:hint="default" w:ascii="Times New Roman" w:hAnsi="Times New Roman" w:eastAsia="宋体" w:cs="Times New Roman"/>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5" w:hRule="atLeast"/>
        </w:trPr>
        <w:tc>
          <w:tcPr>
            <w:tcW w:w="1140"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139" w:type="dxa"/>
            <w:vMerge w:val="continue"/>
            <w:shd w:val="clear" w:color="000000"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509" w:type="dxa"/>
            <w:vMerge w:val="continue"/>
            <w:shd w:val="clear" w:color="000000"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844"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2195"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东高排涝站</w:t>
            </w:r>
          </w:p>
        </w:tc>
        <w:tc>
          <w:tcPr>
            <w:tcW w:w="15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小（</w:t>
            </w:r>
            <w:r>
              <w:rPr>
                <w:rStyle w:val="22"/>
                <w:rFonts w:hint="default" w:ascii="Times New Roman" w:hAnsi="Times New Roman" w:eastAsia="宋体" w:cs="Times New Roman"/>
                <w:sz w:val="24"/>
                <w:szCs w:val="24"/>
                <w:lang w:val="en-US" w:eastAsia="zh-CN" w:bidi="ar"/>
              </w:rPr>
              <w:t>1</w:t>
            </w:r>
            <w:r>
              <w:rPr>
                <w:rStyle w:val="21"/>
                <w:rFonts w:hint="default" w:ascii="Times New Roman" w:hAnsi="Times New Roman" w:eastAsia="宋体" w:cs="Times New Roman"/>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trPr>
        <w:tc>
          <w:tcPr>
            <w:tcW w:w="1140"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139" w:type="dxa"/>
            <w:vMerge w:val="continue"/>
            <w:shd w:val="clear" w:color="000000"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509" w:type="dxa"/>
            <w:vMerge w:val="continue"/>
            <w:shd w:val="clear" w:color="000000"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844"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p>
        </w:tc>
        <w:tc>
          <w:tcPr>
            <w:tcW w:w="2195"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山许站</w:t>
            </w:r>
          </w:p>
        </w:tc>
        <w:tc>
          <w:tcPr>
            <w:tcW w:w="15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中型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5" w:hRule="atLeast"/>
        </w:trPr>
        <w:tc>
          <w:tcPr>
            <w:tcW w:w="1140"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139" w:type="dxa"/>
            <w:vMerge w:val="continue"/>
            <w:shd w:val="clear" w:color="000000"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509" w:type="dxa"/>
            <w:vMerge w:val="continue"/>
            <w:shd w:val="clear" w:color="000000"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844"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2195"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沈湾灌溉</w:t>
            </w:r>
            <w:r>
              <w:rPr>
                <w:rStyle w:val="19"/>
                <w:rFonts w:hint="default" w:ascii="Times New Roman" w:hAnsi="Times New Roman" w:eastAsia="宋体" w:cs="Times New Roman"/>
                <w:sz w:val="24"/>
                <w:szCs w:val="24"/>
                <w:lang w:val="en-US" w:eastAsia="zh-CN" w:bidi="ar"/>
              </w:rPr>
              <w:t>1</w:t>
            </w:r>
            <w:r>
              <w:rPr>
                <w:rStyle w:val="20"/>
                <w:rFonts w:hint="default" w:ascii="Times New Roman" w:hAnsi="Times New Roman" w:eastAsia="宋体" w:cs="Times New Roman"/>
                <w:sz w:val="24"/>
                <w:szCs w:val="24"/>
                <w:lang w:val="en-US" w:eastAsia="zh-CN" w:bidi="ar"/>
              </w:rPr>
              <w:t>站</w:t>
            </w:r>
          </w:p>
        </w:tc>
        <w:tc>
          <w:tcPr>
            <w:tcW w:w="15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小（</w:t>
            </w:r>
            <w:r>
              <w:rPr>
                <w:rStyle w:val="22"/>
                <w:rFonts w:hint="default" w:ascii="Times New Roman" w:hAnsi="Times New Roman" w:eastAsia="宋体" w:cs="Times New Roman"/>
                <w:sz w:val="24"/>
                <w:szCs w:val="24"/>
                <w:lang w:val="en-US" w:eastAsia="zh-CN" w:bidi="ar"/>
              </w:rPr>
              <w:t>2</w:t>
            </w:r>
            <w:r>
              <w:rPr>
                <w:rStyle w:val="21"/>
                <w:rFonts w:hint="default" w:ascii="Times New Roman" w:hAnsi="Times New Roman" w:eastAsia="宋体" w:cs="Times New Roman"/>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trPr>
        <w:tc>
          <w:tcPr>
            <w:tcW w:w="1140"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139" w:type="dxa"/>
            <w:vMerge w:val="continue"/>
            <w:shd w:val="clear" w:color="000000"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509" w:type="dxa"/>
            <w:vMerge w:val="continue"/>
            <w:shd w:val="clear" w:color="000000"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844"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w:t>
            </w:r>
          </w:p>
        </w:tc>
        <w:tc>
          <w:tcPr>
            <w:tcW w:w="2195"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auto"/>
                <w:sz w:val="24"/>
                <w:szCs w:val="24"/>
                <w:u w:val="none"/>
                <w:shd w:val="clear" w:color="auto" w:fill="auto"/>
              </w:rPr>
            </w:pPr>
            <w:r>
              <w:rPr>
                <w:rFonts w:hint="default" w:ascii="Times New Roman" w:hAnsi="Times New Roman" w:eastAsia="宋体" w:cs="Times New Roman"/>
                <w:i w:val="0"/>
                <w:color w:val="auto"/>
                <w:kern w:val="0"/>
                <w:sz w:val="24"/>
                <w:szCs w:val="24"/>
                <w:u w:val="none"/>
                <w:shd w:val="clear" w:color="auto" w:fill="auto"/>
                <w:lang w:val="en-US" w:eastAsia="zh-CN" w:bidi="ar"/>
              </w:rPr>
              <w:t>沈湾灌溉</w:t>
            </w:r>
            <w:r>
              <w:rPr>
                <w:rStyle w:val="19"/>
                <w:rFonts w:hint="default" w:ascii="Times New Roman" w:hAnsi="Times New Roman" w:eastAsia="宋体" w:cs="Times New Roman"/>
                <w:color w:val="auto"/>
                <w:sz w:val="24"/>
                <w:szCs w:val="24"/>
                <w:shd w:val="clear" w:color="auto" w:fill="auto"/>
                <w:lang w:val="en-US" w:eastAsia="zh-CN" w:bidi="ar"/>
              </w:rPr>
              <w:t>2</w:t>
            </w:r>
            <w:r>
              <w:rPr>
                <w:rStyle w:val="20"/>
                <w:rFonts w:hint="default" w:ascii="Times New Roman" w:hAnsi="Times New Roman" w:eastAsia="宋体" w:cs="Times New Roman"/>
                <w:color w:val="auto"/>
                <w:sz w:val="24"/>
                <w:szCs w:val="24"/>
                <w:shd w:val="clear" w:color="auto" w:fill="auto"/>
                <w:lang w:val="en-US" w:eastAsia="zh-CN" w:bidi="ar"/>
              </w:rPr>
              <w:t>站</w:t>
            </w:r>
          </w:p>
        </w:tc>
        <w:tc>
          <w:tcPr>
            <w:tcW w:w="15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auto"/>
                <w:sz w:val="24"/>
                <w:szCs w:val="24"/>
                <w:u w:val="none"/>
                <w:shd w:val="clear" w:color="auto" w:fill="auto"/>
              </w:rPr>
            </w:pPr>
            <w:r>
              <w:rPr>
                <w:rFonts w:hint="default" w:ascii="Times New Roman" w:hAnsi="Times New Roman" w:eastAsia="宋体" w:cs="Times New Roman"/>
                <w:i w:val="0"/>
                <w:color w:val="auto"/>
                <w:kern w:val="0"/>
                <w:sz w:val="24"/>
                <w:szCs w:val="24"/>
                <w:u w:val="none"/>
                <w:shd w:val="clear" w:color="auto" w:fill="auto"/>
                <w:lang w:val="en-US" w:eastAsia="zh-CN" w:bidi="ar"/>
              </w:rPr>
              <w:t>小（</w:t>
            </w:r>
            <w:r>
              <w:rPr>
                <w:rStyle w:val="22"/>
                <w:rFonts w:hint="default" w:ascii="Times New Roman" w:hAnsi="Times New Roman" w:eastAsia="宋体" w:cs="Times New Roman"/>
                <w:color w:val="auto"/>
                <w:sz w:val="24"/>
                <w:szCs w:val="24"/>
                <w:shd w:val="clear" w:color="auto" w:fill="auto"/>
                <w:lang w:val="en-US" w:eastAsia="zh-CN" w:bidi="ar"/>
              </w:rPr>
              <w:t>2</w:t>
            </w:r>
            <w:r>
              <w:rPr>
                <w:rStyle w:val="21"/>
                <w:rFonts w:hint="default" w:ascii="Times New Roman" w:hAnsi="Times New Roman" w:eastAsia="宋体" w:cs="Times New Roman"/>
                <w:color w:val="auto"/>
                <w:sz w:val="24"/>
                <w:szCs w:val="24"/>
                <w:shd w:val="clear" w:color="auto" w:fill="auto"/>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trPr>
        <w:tc>
          <w:tcPr>
            <w:tcW w:w="1140"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139" w:type="dxa"/>
            <w:vMerge w:val="continue"/>
            <w:shd w:val="clear" w:color="000000"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509" w:type="dxa"/>
            <w:vMerge w:val="continue"/>
            <w:shd w:val="clear" w:color="000000"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844"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w:t>
            </w:r>
          </w:p>
        </w:tc>
        <w:tc>
          <w:tcPr>
            <w:tcW w:w="2195"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auto"/>
                <w:sz w:val="24"/>
                <w:szCs w:val="24"/>
                <w:u w:val="none"/>
                <w:shd w:val="clear" w:color="auto" w:fill="auto"/>
              </w:rPr>
            </w:pPr>
            <w:r>
              <w:rPr>
                <w:rFonts w:hint="default" w:ascii="Times New Roman" w:hAnsi="Times New Roman" w:eastAsia="宋体" w:cs="Times New Roman"/>
                <w:i w:val="0"/>
                <w:color w:val="auto"/>
                <w:kern w:val="0"/>
                <w:sz w:val="24"/>
                <w:szCs w:val="24"/>
                <w:u w:val="none"/>
                <w:shd w:val="clear" w:color="auto" w:fill="auto"/>
                <w:lang w:val="en-US" w:eastAsia="zh-CN" w:bidi="ar"/>
              </w:rPr>
              <w:t>人民排涝站</w:t>
            </w:r>
          </w:p>
        </w:tc>
        <w:tc>
          <w:tcPr>
            <w:tcW w:w="15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auto"/>
                <w:sz w:val="24"/>
                <w:szCs w:val="24"/>
                <w:u w:val="none"/>
                <w:shd w:val="clear" w:color="auto" w:fill="auto"/>
              </w:rPr>
            </w:pPr>
            <w:r>
              <w:rPr>
                <w:rFonts w:hint="default" w:ascii="Times New Roman" w:hAnsi="Times New Roman" w:eastAsia="宋体" w:cs="Times New Roman"/>
                <w:i w:val="0"/>
                <w:color w:val="auto"/>
                <w:kern w:val="0"/>
                <w:sz w:val="24"/>
                <w:szCs w:val="24"/>
                <w:u w:val="none"/>
                <w:shd w:val="clear" w:color="auto" w:fill="auto"/>
                <w:lang w:val="en-US" w:eastAsia="zh-CN" w:bidi="ar"/>
              </w:rPr>
              <w:t>小（</w:t>
            </w:r>
            <w:r>
              <w:rPr>
                <w:rStyle w:val="23"/>
                <w:rFonts w:hint="default" w:ascii="Times New Roman" w:hAnsi="Times New Roman" w:eastAsia="宋体" w:cs="Times New Roman"/>
                <w:color w:val="auto"/>
                <w:sz w:val="24"/>
                <w:szCs w:val="24"/>
                <w:shd w:val="clear" w:color="auto" w:fill="auto"/>
                <w:lang w:val="en-US" w:eastAsia="zh-CN" w:bidi="ar"/>
              </w:rPr>
              <w:t>1</w:t>
            </w:r>
            <w:r>
              <w:rPr>
                <w:rStyle w:val="24"/>
                <w:rFonts w:hint="default" w:ascii="Times New Roman" w:hAnsi="Times New Roman" w:eastAsia="宋体" w:cs="Times New Roman"/>
                <w:color w:val="auto"/>
                <w:sz w:val="24"/>
                <w:szCs w:val="24"/>
                <w:shd w:val="clear" w:color="auto" w:fill="auto"/>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140"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139" w:type="dxa"/>
            <w:vMerge w:val="restart"/>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桥梁</w:t>
            </w:r>
          </w:p>
        </w:tc>
        <w:tc>
          <w:tcPr>
            <w:tcW w:w="1509" w:type="dxa"/>
            <w:vMerge w:val="restart"/>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拆除重建</w:t>
            </w:r>
          </w:p>
        </w:tc>
        <w:tc>
          <w:tcPr>
            <w:tcW w:w="844"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2195" w:type="dxa"/>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周何桥</w:t>
            </w:r>
          </w:p>
        </w:tc>
        <w:tc>
          <w:tcPr>
            <w:tcW w:w="15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大桥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140"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139" w:type="dxa"/>
            <w:vMerge w:val="continue"/>
            <w:shd w:val="clear" w:color="000000"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509" w:type="dxa"/>
            <w:vMerge w:val="continue"/>
            <w:shd w:val="clear" w:color="000000"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844"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2195"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官塘刘桥</w:t>
            </w:r>
          </w:p>
        </w:tc>
        <w:tc>
          <w:tcPr>
            <w:tcW w:w="15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大桥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140"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139" w:type="dxa"/>
            <w:vMerge w:val="continue"/>
            <w:shd w:val="clear" w:color="000000"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509" w:type="dxa"/>
            <w:vMerge w:val="restart"/>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新建</w:t>
            </w:r>
          </w:p>
        </w:tc>
        <w:tc>
          <w:tcPr>
            <w:tcW w:w="844" w:type="dxa"/>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2195" w:type="dxa"/>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三和南圩桥</w:t>
            </w:r>
          </w:p>
        </w:tc>
        <w:tc>
          <w:tcPr>
            <w:tcW w:w="15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中桥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140"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139" w:type="dxa"/>
            <w:vMerge w:val="continue"/>
            <w:shd w:val="clear" w:color="000000"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509" w:type="dxa"/>
            <w:vMerge w:val="continue"/>
            <w:shd w:val="clear" w:color="000000"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844"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2195"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坝西桥</w:t>
            </w:r>
          </w:p>
        </w:tc>
        <w:tc>
          <w:tcPr>
            <w:tcW w:w="15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中桥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140"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139" w:type="dxa"/>
            <w:vMerge w:val="continue"/>
            <w:shd w:val="clear" w:color="000000"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509" w:type="dxa"/>
            <w:vMerge w:val="continue"/>
            <w:shd w:val="clear" w:color="000000"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844" w:type="dxa"/>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2195"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大滩桥</w:t>
            </w:r>
          </w:p>
        </w:tc>
        <w:tc>
          <w:tcPr>
            <w:tcW w:w="15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中桥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140"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139" w:type="dxa"/>
            <w:vMerge w:val="continue"/>
            <w:shd w:val="clear" w:color="000000"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509" w:type="dxa"/>
            <w:vMerge w:val="continue"/>
            <w:shd w:val="clear" w:color="000000"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844"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p>
        </w:tc>
        <w:tc>
          <w:tcPr>
            <w:tcW w:w="2195"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曹庄桥</w:t>
            </w:r>
          </w:p>
        </w:tc>
        <w:tc>
          <w:tcPr>
            <w:tcW w:w="15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中桥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140" w:type="dxa"/>
            <w:vMerge w:val="continue"/>
            <w:shd w:val="clear" w:color="000000"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139" w:type="dxa"/>
            <w:vMerge w:val="continue"/>
            <w:shd w:val="clear" w:color="000000"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1509" w:type="dxa"/>
            <w:vMerge w:val="continue"/>
            <w:shd w:val="clear" w:color="000000"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844" w:type="dxa"/>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2195" w:type="dxa"/>
            <w:shd w:val="clear" w:color="00000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蔡岗桥</w:t>
            </w:r>
          </w:p>
        </w:tc>
        <w:tc>
          <w:tcPr>
            <w:tcW w:w="15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中桥</w:t>
            </w:r>
          </w:p>
        </w:tc>
      </w:tr>
    </w:tbl>
    <w:p>
      <w:pPr>
        <w:pStyle w:val="14"/>
        <w:keepNext w:val="0"/>
        <w:keepLines w:val="0"/>
        <w:pageBreakBefore w:val="0"/>
        <w:widowControl w:val="0"/>
        <w:kinsoku/>
        <w:wordWrap/>
        <w:overflowPunct/>
        <w:topLinePunct w:val="0"/>
        <w:autoSpaceDE w:val="0"/>
        <w:autoSpaceDN w:val="0"/>
        <w:bidi w:val="0"/>
        <w:adjustRightInd/>
        <w:snapToGrid w:val="0"/>
        <w:spacing w:line="336" w:lineRule="auto"/>
        <w:ind w:left="0" w:leftChars="0" w:firstLine="0" w:firstLineChars="0"/>
        <w:textAlignment w:val="auto"/>
        <w:rPr>
          <w:rFonts w:hint="default" w:ascii="Times New Roman" w:hAnsi="Times New Roman" w:cs="Times New Roman"/>
          <w:spacing w:val="0"/>
          <w:szCs w:val="20"/>
          <w:highlight w:val="none"/>
          <w:lang w:val="zh-CN" w:eastAsia="zh-CN"/>
        </w:rPr>
      </w:pPr>
    </w:p>
    <w:p>
      <w:pPr>
        <w:pStyle w:val="3"/>
        <w:keepNext w:val="0"/>
        <w:keepLines w:val="0"/>
        <w:pageBreakBefore w:val="0"/>
        <w:widowControl w:val="0"/>
        <w:kinsoku/>
        <w:wordWrap/>
        <w:overflowPunct/>
        <w:topLinePunct w:val="0"/>
        <w:autoSpaceDE w:val="0"/>
        <w:autoSpaceDN w:val="0"/>
        <w:bidi w:val="0"/>
        <w:adjustRightInd/>
        <w:snapToGrid w:val="0"/>
        <w:spacing w:before="0" w:line="336" w:lineRule="auto"/>
        <w:ind w:left="0" w:firstLine="562" w:firstLineChars="200"/>
        <w:textAlignment w:val="auto"/>
        <w:rPr>
          <w:rFonts w:hint="default"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二、</w:t>
      </w:r>
      <w:r>
        <w:rPr>
          <w:rFonts w:hint="eastAsia" w:ascii="Times New Roman" w:hAnsi="Times New Roman" w:cs="Times New Roman"/>
          <w:highlight w:val="none"/>
          <w:lang w:val="en-US" w:eastAsia="zh-CN"/>
        </w:rPr>
        <w:t>采购需求</w:t>
      </w:r>
    </w:p>
    <w:p>
      <w:pPr>
        <w:pStyle w:val="14"/>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eastAsia" w:ascii="Times New Roman" w:hAnsi="Times New Roman" w:eastAsia="宋体" w:cs="Times New Roman"/>
          <w:spacing w:val="0"/>
          <w:highlight w:val="none"/>
          <w:lang w:val="zh-CN" w:eastAsia="zh-CN"/>
        </w:rPr>
      </w:pPr>
      <w:r>
        <w:rPr>
          <w:rFonts w:hint="eastAsia" w:ascii="Times New Roman" w:hAnsi="Times New Roman" w:eastAsia="宋体" w:cs="Times New Roman"/>
          <w:spacing w:val="0"/>
          <w:highlight w:val="none"/>
          <w:lang w:val="en-US" w:eastAsia="zh-CN"/>
        </w:rPr>
        <w:t>1、</w:t>
      </w:r>
      <w:r>
        <w:rPr>
          <w:rFonts w:hint="eastAsia" w:ascii="Times New Roman" w:hAnsi="Times New Roman" w:eastAsia="宋体" w:cs="Times New Roman"/>
          <w:spacing w:val="0"/>
          <w:highlight w:val="none"/>
          <w:lang w:val="zh-CN" w:eastAsia="zh-CN"/>
        </w:rPr>
        <w:t>根据国家现行有关规程、规范和</w:t>
      </w:r>
      <w:r>
        <w:rPr>
          <w:rFonts w:hint="eastAsia" w:ascii="Times New Roman" w:hAnsi="Times New Roman" w:eastAsia="宋体" w:cs="Times New Roman"/>
          <w:spacing w:val="0"/>
          <w:highlight w:val="none"/>
          <w:lang w:val="en-US" w:eastAsia="zh-CN"/>
        </w:rPr>
        <w:t>采购人</w:t>
      </w:r>
      <w:r>
        <w:rPr>
          <w:rFonts w:hint="eastAsia" w:ascii="Times New Roman" w:hAnsi="Times New Roman" w:eastAsia="宋体" w:cs="Times New Roman"/>
          <w:spacing w:val="0"/>
          <w:highlight w:val="none"/>
          <w:lang w:val="zh-CN" w:eastAsia="zh-CN"/>
        </w:rPr>
        <w:t>要求，编制完成</w:t>
      </w:r>
      <w:r>
        <w:rPr>
          <w:rFonts w:hint="eastAsia" w:ascii="Times New Roman" w:hAnsi="Times New Roman" w:cs="Times New Roman"/>
          <w:spacing w:val="0"/>
          <w:highlight w:val="none"/>
          <w:lang w:val="en-US" w:eastAsia="zh-CN"/>
        </w:rPr>
        <w:t>池河防洪治理</w:t>
      </w:r>
      <w:r>
        <w:rPr>
          <w:rFonts w:hint="eastAsia" w:ascii="Times New Roman" w:hAnsi="Times New Roman" w:eastAsia="宋体" w:cs="Times New Roman"/>
          <w:spacing w:val="0"/>
          <w:highlight w:val="none"/>
          <w:lang w:val="zh-CN" w:eastAsia="zh-CN"/>
        </w:rPr>
        <w:t>工程</w:t>
      </w:r>
      <w:r>
        <w:rPr>
          <w:rFonts w:hint="eastAsia" w:ascii="Times New Roman" w:hAnsi="Times New Roman" w:cs="Times New Roman"/>
          <w:spacing w:val="0"/>
          <w:highlight w:val="none"/>
          <w:lang w:val="en-US" w:eastAsia="zh-CN"/>
        </w:rPr>
        <w:t>地震安全性评价</w:t>
      </w:r>
      <w:r>
        <w:rPr>
          <w:rFonts w:hint="eastAsia" w:ascii="Times New Roman" w:hAnsi="Times New Roman" w:eastAsia="宋体" w:cs="Times New Roman"/>
          <w:spacing w:val="0"/>
          <w:highlight w:val="none"/>
          <w:lang w:val="zh-CN" w:eastAsia="zh-CN"/>
        </w:rPr>
        <w:t>报告，参加专家评审会并按评审意见及时修改、完善，2022年</w:t>
      </w:r>
      <w:r>
        <w:rPr>
          <w:rFonts w:hint="eastAsia" w:ascii="Times New Roman" w:hAnsi="Times New Roman" w:cs="Times New Roman"/>
          <w:spacing w:val="0"/>
          <w:highlight w:val="none"/>
          <w:lang w:val="en-US" w:eastAsia="zh-CN"/>
        </w:rPr>
        <w:t>12</w:t>
      </w:r>
      <w:r>
        <w:rPr>
          <w:rFonts w:hint="eastAsia" w:ascii="Times New Roman" w:hAnsi="Times New Roman" w:eastAsia="宋体" w:cs="Times New Roman"/>
          <w:spacing w:val="0"/>
          <w:highlight w:val="none"/>
          <w:lang w:val="zh-CN" w:eastAsia="zh-CN"/>
        </w:rPr>
        <w:t>月底前通过专家论证，提交最终成果，并获得相关主管部门的</w:t>
      </w:r>
      <w:r>
        <w:rPr>
          <w:rFonts w:hint="eastAsia" w:ascii="Times New Roman" w:hAnsi="Times New Roman" w:cs="Times New Roman"/>
          <w:spacing w:val="0"/>
          <w:highlight w:val="none"/>
          <w:lang w:val="en-US" w:eastAsia="zh-CN"/>
        </w:rPr>
        <w:t>批复</w:t>
      </w:r>
      <w:r>
        <w:rPr>
          <w:rFonts w:hint="eastAsia" w:ascii="Times New Roman" w:hAnsi="Times New Roman" w:eastAsia="宋体" w:cs="Times New Roman"/>
          <w:spacing w:val="0"/>
          <w:highlight w:val="none"/>
          <w:lang w:val="zh-CN" w:eastAsia="zh-CN"/>
        </w:rPr>
        <w:t>。</w:t>
      </w:r>
    </w:p>
    <w:p>
      <w:pPr>
        <w:pStyle w:val="14"/>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eastAsia" w:ascii="Times New Roman" w:hAnsi="Times New Roman" w:eastAsia="宋体" w:cs="Times New Roman"/>
          <w:spacing w:val="0"/>
          <w:highlight w:val="none"/>
          <w:lang w:val="zh-CN" w:eastAsia="zh-CN"/>
        </w:rPr>
      </w:pPr>
      <w:r>
        <w:rPr>
          <w:rFonts w:hint="eastAsia" w:ascii="Times New Roman" w:hAnsi="Times New Roman" w:eastAsia="宋体" w:cs="Times New Roman"/>
          <w:spacing w:val="0"/>
          <w:highlight w:val="none"/>
          <w:lang w:val="en-US" w:eastAsia="zh-CN"/>
        </w:rPr>
        <w:t>2、</w:t>
      </w:r>
      <w:r>
        <w:rPr>
          <w:rFonts w:hint="eastAsia" w:ascii="Times New Roman" w:hAnsi="Times New Roman" w:eastAsia="宋体" w:cs="Times New Roman"/>
          <w:spacing w:val="0"/>
          <w:highlight w:val="none"/>
          <w:lang w:val="zh-CN" w:eastAsia="zh-CN"/>
        </w:rPr>
        <w:t>配合</w:t>
      </w:r>
      <w:r>
        <w:rPr>
          <w:rFonts w:hint="eastAsia" w:ascii="Times New Roman" w:hAnsi="Times New Roman" w:eastAsia="宋体" w:cs="Times New Roman"/>
          <w:spacing w:val="0"/>
          <w:highlight w:val="none"/>
          <w:lang w:val="en-US" w:eastAsia="zh-CN"/>
        </w:rPr>
        <w:t>采购人</w:t>
      </w:r>
      <w:r>
        <w:rPr>
          <w:rFonts w:hint="eastAsia" w:ascii="Times New Roman" w:hAnsi="Times New Roman" w:eastAsia="宋体" w:cs="Times New Roman"/>
          <w:spacing w:val="0"/>
          <w:highlight w:val="none"/>
          <w:lang w:val="zh-CN" w:eastAsia="zh-CN"/>
        </w:rPr>
        <w:t>取得</w:t>
      </w:r>
      <w:r>
        <w:rPr>
          <w:rFonts w:hint="eastAsia" w:ascii="Times New Roman" w:hAnsi="Times New Roman" w:cs="Times New Roman"/>
          <w:spacing w:val="0"/>
          <w:highlight w:val="none"/>
          <w:lang w:val="en-US" w:eastAsia="zh-CN"/>
        </w:rPr>
        <w:t>池河防洪治理</w:t>
      </w:r>
      <w:r>
        <w:rPr>
          <w:rFonts w:hint="eastAsia" w:ascii="Times New Roman" w:hAnsi="Times New Roman" w:eastAsia="宋体" w:cs="Times New Roman"/>
          <w:spacing w:val="0"/>
          <w:highlight w:val="none"/>
          <w:lang w:val="zh-CN" w:eastAsia="zh-CN"/>
        </w:rPr>
        <w:t>工程</w:t>
      </w:r>
      <w:bookmarkStart w:id="1" w:name="_GoBack"/>
      <w:bookmarkEnd w:id="1"/>
      <w:r>
        <w:rPr>
          <w:rFonts w:hint="eastAsia" w:ascii="Times New Roman" w:hAnsi="Times New Roman" w:eastAsia="宋体" w:cs="Times New Roman"/>
          <w:spacing w:val="0"/>
          <w:highlight w:val="none"/>
          <w:lang w:val="zh-CN" w:eastAsia="zh-CN"/>
        </w:rPr>
        <w:t>可行性研究报告批复。</w:t>
      </w:r>
    </w:p>
    <w:p>
      <w:pPr>
        <w:pStyle w:val="14"/>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eastAsia" w:ascii="Times New Roman" w:hAnsi="Times New Roman" w:eastAsia="宋体" w:cs="Times New Roman"/>
          <w:spacing w:val="0"/>
          <w:highlight w:val="none"/>
          <w:lang w:val="zh-CN" w:eastAsia="zh-CN"/>
        </w:rPr>
      </w:pPr>
      <w:r>
        <w:rPr>
          <w:rFonts w:hint="eastAsia" w:ascii="Times New Roman" w:hAnsi="Times New Roman" w:eastAsia="宋体" w:cs="Times New Roman"/>
          <w:spacing w:val="0"/>
          <w:highlight w:val="none"/>
          <w:lang w:val="zh-CN" w:eastAsia="zh-CN"/>
        </w:rPr>
        <w:t>3、报告必须符合国家有关的规划、政策、法规规定，内容深度必须达到国家和行业规定的标准，基本内容要完整。</w:t>
      </w:r>
    </w:p>
    <w:p>
      <w:pPr>
        <w:pStyle w:val="14"/>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eastAsia" w:ascii="Times New Roman" w:hAnsi="Times New Roman" w:eastAsia="宋体" w:cs="Times New Roman"/>
          <w:spacing w:val="0"/>
          <w:highlight w:val="none"/>
          <w:lang w:val="zh-CN" w:eastAsia="zh-CN"/>
        </w:rPr>
      </w:pPr>
      <w:r>
        <w:rPr>
          <w:rFonts w:hint="eastAsia" w:ascii="Times New Roman" w:hAnsi="Times New Roman" w:eastAsia="宋体" w:cs="Times New Roman"/>
          <w:spacing w:val="0"/>
          <w:highlight w:val="none"/>
          <w:lang w:val="zh-CN" w:eastAsia="zh-CN"/>
        </w:rPr>
        <w:t>4、服务单位必须站在客观公正的立场进行调查研究，做好基础资料的收集工作。对于收集的基础资料，要按照客观实际情况进行论证评价，如实地反映客观经济规律，从客观数据出发，通过科学分析，得出结论。</w:t>
      </w:r>
    </w:p>
    <w:p>
      <w:pPr>
        <w:pStyle w:val="14"/>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eastAsia="宋体" w:cs="Times New Roman"/>
          <w:spacing w:val="0"/>
          <w:highlight w:val="none"/>
          <w:lang w:val="zh-CN" w:eastAsia="zh-CN"/>
        </w:rPr>
      </w:pPr>
      <w:r>
        <w:rPr>
          <w:rFonts w:hint="eastAsia" w:ascii="Times New Roman" w:hAnsi="Times New Roman" w:eastAsia="宋体" w:cs="Times New Roman"/>
          <w:spacing w:val="0"/>
          <w:highlight w:val="none"/>
          <w:lang w:val="zh-CN" w:eastAsia="zh-CN"/>
        </w:rPr>
        <w:t>5、服务单位应当坚持公正、科学、诚信的工作原则，遵守职业道德，讲求专业信誉，对相关社会责任负责，不得违反国家法律、法规、政策及有关管理要求。服务单位在编制报告过程中应积极主动与委托人进行沟通。本着诚实信用的原则，高效率的提供本需求规定的各项服务。</w:t>
      </w:r>
    </w:p>
    <w:sectPr>
      <w:footerReference r:id="rId3" w:type="default"/>
      <w:pgSz w:w="11910" w:h="16840"/>
      <w:pgMar w:top="1247" w:right="1247" w:bottom="1247" w:left="1417" w:header="0" w:footer="120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0" w:line="14" w:lineRule="auto"/>
      <w:ind w:left="0"/>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docVars>
    <w:docVar w:name="commondata" w:val="eyJoZGlkIjoiZTdkOThiNDE4NDQwYjQ2YzRkNzFkOTcyMjI5ZjBkNWUifQ=="/>
  </w:docVars>
  <w:rsids>
    <w:rsidRoot w:val="001115BF"/>
    <w:rsid w:val="001115BF"/>
    <w:rsid w:val="00350EFB"/>
    <w:rsid w:val="009676A0"/>
    <w:rsid w:val="00A354B5"/>
    <w:rsid w:val="00F3422A"/>
    <w:rsid w:val="0B38279C"/>
    <w:rsid w:val="1E851DDC"/>
    <w:rsid w:val="26867B60"/>
    <w:rsid w:val="279B25A8"/>
    <w:rsid w:val="2C22715E"/>
    <w:rsid w:val="2CE45513"/>
    <w:rsid w:val="2D456E30"/>
    <w:rsid w:val="390F16EF"/>
    <w:rsid w:val="3BF15382"/>
    <w:rsid w:val="3E286C02"/>
    <w:rsid w:val="40621D57"/>
    <w:rsid w:val="44957F81"/>
    <w:rsid w:val="482236E4"/>
    <w:rsid w:val="494234D8"/>
    <w:rsid w:val="593162C5"/>
    <w:rsid w:val="62FE4862"/>
    <w:rsid w:val="66E85219"/>
    <w:rsid w:val="671B5A2B"/>
    <w:rsid w:val="679C1B1D"/>
    <w:rsid w:val="6AC83B46"/>
    <w:rsid w:val="6C0A407F"/>
    <w:rsid w:val="7025292B"/>
    <w:rsid w:val="729F651F"/>
    <w:rsid w:val="744E005F"/>
    <w:rsid w:val="7ACC2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spacing w:before="55"/>
      <w:ind w:left="112"/>
      <w:outlineLvl w:val="0"/>
    </w:pPr>
    <w:rPr>
      <w:b/>
      <w:bCs/>
      <w:sz w:val="28"/>
      <w:szCs w:val="28"/>
    </w:rPr>
  </w:style>
  <w:style w:type="paragraph" w:styleId="4">
    <w:name w:val="heading 2"/>
    <w:basedOn w:val="1"/>
    <w:next w:val="5"/>
    <w:qFormat/>
    <w:uiPriority w:val="1"/>
    <w:pPr>
      <w:spacing w:before="55"/>
      <w:ind w:left="112"/>
      <w:outlineLvl w:val="1"/>
    </w:pPr>
    <w:rPr>
      <w:b/>
      <w:bCs/>
      <w:sz w:val="24"/>
      <w:szCs w:val="2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2"/>
    <w:basedOn w:val="1"/>
    <w:next w:val="1"/>
    <w:qFormat/>
    <w:uiPriority w:val="0"/>
    <w:rPr>
      <w:bCs/>
      <w:color w:val="000000"/>
    </w:rPr>
  </w:style>
  <w:style w:type="paragraph" w:styleId="5">
    <w:name w:val="Normal Indent"/>
    <w:basedOn w:val="1"/>
    <w:qFormat/>
    <w:uiPriority w:val="0"/>
    <w:pPr>
      <w:ind w:firstLine="420" w:firstLineChars="200"/>
    </w:pPr>
  </w:style>
  <w:style w:type="paragraph" w:styleId="6">
    <w:name w:val="Body Text"/>
    <w:basedOn w:val="1"/>
    <w:next w:val="1"/>
    <w:qFormat/>
    <w:uiPriority w:val="1"/>
    <w:pPr>
      <w:spacing w:before="160"/>
      <w:ind w:left="593"/>
    </w:pPr>
    <w:rPr>
      <w:sz w:val="24"/>
      <w:szCs w:val="24"/>
    </w:rPr>
  </w:style>
  <w:style w:type="paragraph" w:styleId="7">
    <w:name w:val="footer"/>
    <w:basedOn w:val="1"/>
    <w:link w:val="16"/>
    <w:qFormat/>
    <w:uiPriority w:val="0"/>
    <w:pPr>
      <w:tabs>
        <w:tab w:val="center" w:pos="4153"/>
        <w:tab w:val="right" w:pos="8306"/>
      </w:tabs>
      <w:snapToGrid w:val="0"/>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customStyle="1" w:styleId="11">
    <w:name w:val="Table Paragraph"/>
    <w:basedOn w:val="1"/>
    <w:qFormat/>
    <w:uiPriority w:val="1"/>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pPr>
      <w:spacing w:before="2"/>
      <w:ind w:left="1194" w:hanging="602"/>
    </w:pPr>
  </w:style>
  <w:style w:type="paragraph" w:customStyle="1" w:styleId="14">
    <w:name w:val="样式 小四 行距: 1.5 倍行距1"/>
    <w:basedOn w:val="1"/>
    <w:qFormat/>
    <w:uiPriority w:val="0"/>
    <w:pPr>
      <w:snapToGrid w:val="0"/>
      <w:spacing w:line="360" w:lineRule="auto"/>
      <w:ind w:firstLine="512" w:firstLineChars="200"/>
    </w:pPr>
    <w:rPr>
      <w:spacing w:val="8"/>
      <w:sz w:val="24"/>
    </w:rPr>
  </w:style>
  <w:style w:type="character" w:customStyle="1" w:styleId="15">
    <w:name w:val="页眉 字符"/>
    <w:basedOn w:val="10"/>
    <w:link w:val="8"/>
    <w:qFormat/>
    <w:uiPriority w:val="0"/>
    <w:rPr>
      <w:rFonts w:ascii="宋体" w:hAnsi="宋体" w:eastAsia="宋体" w:cs="宋体"/>
      <w:sz w:val="18"/>
      <w:szCs w:val="18"/>
      <w:lang w:val="zh-CN" w:bidi="zh-CN"/>
    </w:rPr>
  </w:style>
  <w:style w:type="character" w:customStyle="1" w:styleId="16">
    <w:name w:val="页脚 字符"/>
    <w:basedOn w:val="10"/>
    <w:link w:val="7"/>
    <w:qFormat/>
    <w:uiPriority w:val="0"/>
    <w:rPr>
      <w:rFonts w:ascii="宋体" w:hAnsi="宋体" w:eastAsia="宋体" w:cs="宋体"/>
      <w:sz w:val="18"/>
      <w:szCs w:val="18"/>
      <w:lang w:val="zh-CN" w:bidi="zh-CN"/>
    </w:rPr>
  </w:style>
  <w:style w:type="paragraph" w:styleId="17">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3"/>
    <w:basedOn w:val="1"/>
    <w:qFormat/>
    <w:uiPriority w:val="0"/>
    <w:pPr>
      <w:keepNext/>
      <w:keepLines/>
      <w:adjustRightInd w:val="0"/>
      <w:ind w:firstLine="0" w:firstLineChars="0"/>
      <w:outlineLvl w:val="2"/>
    </w:pPr>
    <w:rPr>
      <w:rFonts w:eastAsia="黑体"/>
      <w:bCs/>
      <w:snapToGrid w:val="0"/>
      <w:kern w:val="0"/>
      <w:sz w:val="28"/>
      <w:szCs w:val="28"/>
    </w:rPr>
  </w:style>
  <w:style w:type="character" w:customStyle="1" w:styleId="19">
    <w:name w:val="font61"/>
    <w:basedOn w:val="10"/>
    <w:qFormat/>
    <w:uiPriority w:val="0"/>
    <w:rPr>
      <w:rFonts w:hint="default" w:ascii="Times New Roman" w:hAnsi="Times New Roman" w:cs="Times New Roman"/>
      <w:color w:val="000000"/>
      <w:sz w:val="21"/>
      <w:szCs w:val="21"/>
      <w:u w:val="none"/>
    </w:rPr>
  </w:style>
  <w:style w:type="character" w:customStyle="1" w:styleId="20">
    <w:name w:val="font51"/>
    <w:basedOn w:val="10"/>
    <w:qFormat/>
    <w:uiPriority w:val="0"/>
    <w:rPr>
      <w:rFonts w:hint="eastAsia" w:ascii="宋体" w:hAnsi="宋体" w:eastAsia="宋体" w:cs="宋体"/>
      <w:color w:val="000000"/>
      <w:sz w:val="21"/>
      <w:szCs w:val="21"/>
      <w:u w:val="none"/>
    </w:rPr>
  </w:style>
  <w:style w:type="character" w:customStyle="1" w:styleId="21">
    <w:name w:val="font91"/>
    <w:basedOn w:val="10"/>
    <w:qFormat/>
    <w:uiPriority w:val="0"/>
    <w:rPr>
      <w:rFonts w:hint="eastAsia" w:ascii="宋体" w:hAnsi="宋体" w:eastAsia="宋体" w:cs="宋体"/>
      <w:color w:val="000000"/>
      <w:sz w:val="24"/>
      <w:szCs w:val="24"/>
      <w:u w:val="none"/>
    </w:rPr>
  </w:style>
  <w:style w:type="character" w:customStyle="1" w:styleId="22">
    <w:name w:val="font81"/>
    <w:basedOn w:val="10"/>
    <w:qFormat/>
    <w:uiPriority w:val="0"/>
    <w:rPr>
      <w:rFonts w:hint="default" w:ascii="Times New Roman" w:hAnsi="Times New Roman" w:cs="Times New Roman"/>
      <w:color w:val="000000"/>
      <w:sz w:val="24"/>
      <w:szCs w:val="24"/>
      <w:u w:val="none"/>
    </w:rPr>
  </w:style>
  <w:style w:type="character" w:customStyle="1" w:styleId="23">
    <w:name w:val="font111"/>
    <w:basedOn w:val="10"/>
    <w:qFormat/>
    <w:uiPriority w:val="0"/>
    <w:rPr>
      <w:rFonts w:hint="default" w:ascii="Times New Roman" w:hAnsi="Times New Roman" w:cs="Times New Roman"/>
      <w:color w:val="FF0000"/>
      <w:sz w:val="24"/>
      <w:szCs w:val="24"/>
      <w:u w:val="none"/>
    </w:rPr>
  </w:style>
  <w:style w:type="character" w:customStyle="1" w:styleId="24">
    <w:name w:val="font101"/>
    <w:basedOn w:val="10"/>
    <w:qFormat/>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881</Words>
  <Characters>1019</Characters>
  <Lines>17</Lines>
  <Paragraphs>4</Paragraphs>
  <TotalTime>0</TotalTime>
  <ScaleCrop>false</ScaleCrop>
  <LinksUpToDate>false</LinksUpToDate>
  <CharactersWithSpaces>1021</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2022-04-14T07:04:00Z</dcterms:created>
  <dc:creator>Administrator</dc:creator>
  <cp:lastModifiedBy>晓梦化蝶</cp:lastModifiedBy>
  <cp:lastPrinted>2022-06-20T02:33:00Z</cp:lastPrinted>
  <dcterms:modified xsi:type="dcterms:W3CDTF">2022-10-28T07:58:05Z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2022-01-25T00:00:00Z</vt:filetime>
  </property>
  <property fmtid="{D5CDD505-2E9C-101B-9397-08002B2CF9AE}" pid="3" name="Creator">
    <vt:lpwstr>Microsoft® Word 2010</vt:lpwstr>
  </property>
  <property fmtid="{D5CDD505-2E9C-101B-9397-08002B2CF9AE}" pid="4" name="LastSaved">
    <vt:filetime>2022-04-14T00:00:00Z</vt:filetime>
  </property>
  <property fmtid="{D5CDD505-2E9C-101B-9397-08002B2CF9AE}" pid="5" name="KSOProductBuildVer">
    <vt:lpwstr>2052-11.1.0.9914</vt:lpwstr>
  </property>
  <property fmtid="{D5CDD505-2E9C-101B-9397-08002B2CF9AE}" pid="6" name="ICV">
    <vt:lpwstr>527ED0BE15C74FF7B5115EFDAA8E8CFD</vt:lpwstr>
  </property>
</Properties>
</file>